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661" w:rsidRPr="00EB4661" w:rsidRDefault="00EB4661" w:rsidP="00F74DFC">
      <w:pPr>
        <w:jc w:val="both"/>
        <w:rPr>
          <w:b/>
          <w:bCs/>
          <w:sz w:val="32"/>
          <w:szCs w:val="32"/>
        </w:rPr>
      </w:pPr>
      <w:r>
        <w:rPr>
          <w:b/>
          <w:bCs/>
        </w:rPr>
        <w:t xml:space="preserve">                           </w:t>
      </w:r>
      <w:r>
        <w:rPr>
          <w:b/>
          <w:bCs/>
          <w:sz w:val="32"/>
          <w:szCs w:val="32"/>
        </w:rPr>
        <w:t>SZCZEGÓŁOWA SPECYFIKACJA TECHNICZNA NR 11</w:t>
      </w:r>
    </w:p>
    <w:p w:rsidR="00EB4661" w:rsidRDefault="00EB4661" w:rsidP="00F74DFC">
      <w:pPr>
        <w:jc w:val="both"/>
        <w:rPr>
          <w:b/>
          <w:bCs/>
        </w:rPr>
      </w:pPr>
    </w:p>
    <w:p w:rsidR="00EB4661" w:rsidRDefault="00EB4661" w:rsidP="00F74DFC">
      <w:pPr>
        <w:jc w:val="both"/>
        <w:rPr>
          <w:b/>
          <w:bCs/>
        </w:rPr>
      </w:pPr>
    </w:p>
    <w:p w:rsidR="00EB4661" w:rsidRDefault="00EB4661" w:rsidP="00F74DFC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</w:t>
      </w:r>
      <w:r w:rsidRPr="00EB4661">
        <w:rPr>
          <w:b/>
          <w:bCs/>
        </w:rPr>
        <w:t xml:space="preserve"> </w:t>
      </w:r>
      <w:r w:rsidR="00F74DFC" w:rsidRPr="00EB4661">
        <w:rPr>
          <w:b/>
          <w:bCs/>
        </w:rPr>
        <w:t xml:space="preserve"> OZNAKOWANIE POZIOME</w:t>
      </w:r>
    </w:p>
    <w:p w:rsidR="00F74DFC" w:rsidRPr="00EB4661" w:rsidRDefault="00EB4661" w:rsidP="00F74DFC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</w:t>
      </w:r>
      <w:r w:rsidR="00F74DFC" w:rsidRPr="00EB4661">
        <w:rPr>
          <w:b/>
          <w:bCs/>
        </w:rPr>
        <w:t xml:space="preserve"> D - M - 07.01.01</w:t>
      </w:r>
      <w:bookmarkStart w:id="0" w:name="_Toc239243292"/>
    </w:p>
    <w:p w:rsidR="00F74DFC" w:rsidRDefault="00F74DFC" w:rsidP="00F74DFC">
      <w:pPr>
        <w:jc w:val="both"/>
        <w:rPr>
          <w:b/>
          <w:bCs/>
          <w:u w:val="single"/>
        </w:rPr>
      </w:pP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1. WSTĘP</w:t>
      </w:r>
      <w:bookmarkEnd w:id="0"/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1" w:name="_Toc239243293"/>
      <w:bookmarkStart w:id="2" w:name="_Toc239243220"/>
      <w:r>
        <w:rPr>
          <w:sz w:val="18"/>
          <w:szCs w:val="18"/>
        </w:rPr>
        <w:t>1.1. Przedmiot SST</w:t>
      </w:r>
      <w:bookmarkEnd w:id="1"/>
      <w:bookmarkEnd w:id="2"/>
    </w:p>
    <w:p w:rsidR="00F74DFC" w:rsidRDefault="00F74DFC" w:rsidP="00F74DFC">
      <w:pPr>
        <w:pStyle w:val="tekstost"/>
        <w:rPr>
          <w:sz w:val="18"/>
          <w:szCs w:val="18"/>
        </w:rPr>
      </w:pPr>
      <w:r>
        <w:rPr>
          <w:sz w:val="18"/>
          <w:szCs w:val="18"/>
        </w:rPr>
        <w:t xml:space="preserve">Przedmiotem niniejszej szczegółowej specyfikacji technicznej (SST) są wymagania dotyczące wykonania i odbioru oznakowania poziomego dróg </w:t>
      </w:r>
      <w:r w:rsidR="004269B8">
        <w:rPr>
          <w:sz w:val="18"/>
          <w:szCs w:val="18"/>
        </w:rPr>
        <w:t>.</w:t>
      </w:r>
    </w:p>
    <w:p w:rsidR="004269B8" w:rsidRDefault="004269B8" w:rsidP="00F74DFC">
      <w:pPr>
        <w:pStyle w:val="tekstost"/>
        <w:rPr>
          <w:sz w:val="18"/>
          <w:szCs w:val="18"/>
        </w:rPr>
      </w:pPr>
    </w:p>
    <w:p w:rsidR="004269B8" w:rsidRPr="004269B8" w:rsidRDefault="004269B8" w:rsidP="004269B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Przebudowa ulicy Kościelnej w m. Brzeźnio.</w:t>
      </w:r>
    </w:p>
    <w:p w:rsidR="00F74DFC" w:rsidRDefault="00F74DFC" w:rsidP="00F74DFC">
      <w:pPr>
        <w:tabs>
          <w:tab w:val="left" w:pos="566"/>
        </w:tabs>
        <w:ind w:left="1"/>
        <w:jc w:val="both"/>
        <w:rPr>
          <w:sz w:val="18"/>
          <w:szCs w:val="18"/>
        </w:rPr>
      </w:pPr>
    </w:p>
    <w:p w:rsidR="00F74DFC" w:rsidRDefault="00F74DFC" w:rsidP="00F74DFC">
      <w:pPr>
        <w:pStyle w:val="Standard"/>
        <w:rPr>
          <w:sz w:val="18"/>
          <w:szCs w:val="18"/>
        </w:rPr>
      </w:pPr>
      <w:r>
        <w:rPr>
          <w:sz w:val="18"/>
          <w:szCs w:val="18"/>
        </w:rPr>
        <w:t>Oznakowanie poziome będzie wykonane przy użyciu następujących materiałów:</w:t>
      </w:r>
    </w:p>
    <w:p w:rsidR="00F74DFC" w:rsidRDefault="00F74DFC" w:rsidP="00F74DFC">
      <w:pPr>
        <w:pStyle w:val="Standard"/>
        <w:rPr>
          <w:rFonts w:eastAsia="Lucida Sans Unicode" w:cs="Tahoma"/>
          <w:color w:val="000000"/>
        </w:rPr>
      </w:pPr>
      <w:r>
        <w:rPr>
          <w:rFonts w:eastAsia="Lucida Sans Unicode" w:cs="Tahoma"/>
          <w:color w:val="000000"/>
        </w:rPr>
        <w:t xml:space="preserve">-  </w:t>
      </w:r>
      <w:r>
        <w:rPr>
          <w:rFonts w:eastAsia="Lucida Sans Unicode" w:cs="Tahoma"/>
          <w:color w:val="000000"/>
          <w:sz w:val="18"/>
          <w:szCs w:val="18"/>
        </w:rPr>
        <w:t>cienkowarstwowe (farby).</w:t>
      </w:r>
    </w:p>
    <w:p w:rsidR="00F74DFC" w:rsidRDefault="00F74DFC" w:rsidP="00F74DFC">
      <w:pPr>
        <w:pStyle w:val="Standardowytekst"/>
        <w:rPr>
          <w:sz w:val="18"/>
          <w:szCs w:val="18"/>
        </w:rPr>
      </w:pP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3" w:name="_Toc239243294"/>
      <w:bookmarkStart w:id="4" w:name="_Toc239243221"/>
      <w:r>
        <w:rPr>
          <w:sz w:val="18"/>
          <w:szCs w:val="18"/>
        </w:rPr>
        <w:t>1.2. Zakres stosowania SST</w:t>
      </w:r>
      <w:bookmarkEnd w:id="3"/>
      <w:bookmarkEnd w:id="4"/>
    </w:p>
    <w:p w:rsidR="00F74DFC" w:rsidRDefault="00F74DFC" w:rsidP="00F74DFC">
      <w:pPr>
        <w:pStyle w:val="Standardowytekst"/>
        <w:rPr>
          <w:sz w:val="18"/>
          <w:szCs w:val="18"/>
        </w:rPr>
      </w:pPr>
      <w:r>
        <w:rPr>
          <w:sz w:val="18"/>
          <w:szCs w:val="18"/>
        </w:rPr>
        <w:t>Szczegółowa specyfikacja techniczna jest stosowana jako dokument przetargowy i kontraktowy przy zlecaniu i realizacji robót ujętych w pkt.1.1.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5" w:name="_Toc239243295"/>
      <w:bookmarkStart w:id="6" w:name="_Toc239243222"/>
      <w:r>
        <w:rPr>
          <w:sz w:val="18"/>
          <w:szCs w:val="18"/>
        </w:rPr>
        <w:t>1.3. Zakres robót objętych SST</w:t>
      </w:r>
      <w:bookmarkEnd w:id="5"/>
      <w:bookmarkEnd w:id="6"/>
    </w:p>
    <w:p w:rsidR="00F74DFC" w:rsidRDefault="00F74DFC" w:rsidP="00F74DFC">
      <w:pPr>
        <w:tabs>
          <w:tab w:val="left" w:pos="0"/>
        </w:tabs>
        <w:jc w:val="both"/>
        <w:rPr>
          <w:sz w:val="18"/>
          <w:szCs w:val="18"/>
        </w:rPr>
      </w:pPr>
      <w:r>
        <w:rPr>
          <w:sz w:val="18"/>
          <w:szCs w:val="18"/>
        </w:rPr>
        <w:t>Ustalenia zawarte w niniejszej specyfikacji dotyczą zasad prowadzenia robót związanych z wykonywaniem i odbiorem oznakowania poziomego stosowanego na drogach o nawierzchni twardej.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7" w:name="_Toc239243296"/>
      <w:bookmarkStart w:id="8" w:name="_Toc239243223"/>
      <w:r>
        <w:rPr>
          <w:sz w:val="18"/>
          <w:szCs w:val="18"/>
        </w:rPr>
        <w:t>1.4. Określenia podstawowe</w:t>
      </w:r>
      <w:bookmarkEnd w:id="7"/>
      <w:bookmarkEnd w:id="8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1.4.1.</w:t>
      </w:r>
      <w:r>
        <w:rPr>
          <w:sz w:val="18"/>
          <w:szCs w:val="18"/>
        </w:rPr>
        <w:t xml:space="preserve"> Oznakowanie poziome – znaki drogowe poziome, umieszczone na nawierzchni w postaci linii ciągłych lub przerywanych, pojedynczych lub podwójnych, strzałek, napisów, symboli oraz innych linii związanych z oznaczeniem określonych miejsc na tej nawierzchni. W zależności od rodzaju i sposobu zastosowania znaki poziome mogą mieć znaczenie prowadzące, segregujące, informujące, ostrzegawcze, zakazujące lub nakazujące.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1.4.2. </w:t>
      </w:r>
      <w:r>
        <w:rPr>
          <w:sz w:val="18"/>
          <w:szCs w:val="18"/>
        </w:rPr>
        <w:t>Znaki podłużne – linie równoległe do osi jezdni lub odchylone od niej pod niewielkim kątem, występujące jako linie: – pojedyncze przerywane lub ciągłe, segregacyjne lub krawędziowe, – podwójne: ciągłe z przerywanymi, ciągłe lub przerywane.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1.4.3. </w:t>
      </w:r>
      <w:r>
        <w:rPr>
          <w:sz w:val="18"/>
          <w:szCs w:val="18"/>
        </w:rPr>
        <w:t>Strzałki – znaki poziome na nawierzchni, występujące jako strzałki kierunkowe służące do wskazania dozwolonego kierunku zjazdu z pasa oraz strzałki naprowadzające, które uprzedzają o konieczności opuszczenia pasa, na którym się znajdują.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1.4.4. </w:t>
      </w:r>
      <w:r>
        <w:rPr>
          <w:sz w:val="18"/>
          <w:szCs w:val="18"/>
        </w:rPr>
        <w:t>Znaki poprzeczne – znaki służące do oznaczenia miejsc przeznaczonych do ruchu pieszych i rowerzystów w poprzek drogi, miejsc wymagających zatrzymania pojazdów oraz miejsc lokalizacji progów zwalniających.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1.4.5. </w:t>
      </w:r>
      <w:r>
        <w:rPr>
          <w:sz w:val="18"/>
          <w:szCs w:val="18"/>
        </w:rPr>
        <w:t>Znaki uzupełniające – znaki o różnych kształtach, wymiarach i przeznaczeniu, występujące w postaci symboli, napisów, linii przystankowych, stanowisk i pasów postojowych, powierzchni wyłączonych z ruchu oraz symboli znaków pionowych w oznakowaniu poziomym.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1.4.6. </w:t>
      </w:r>
      <w:r>
        <w:rPr>
          <w:sz w:val="18"/>
          <w:szCs w:val="18"/>
        </w:rPr>
        <w:t xml:space="preserve">Materiały do poziomego znakowania dróg – materiały zawierające rozpuszczalniki, wolne od rozpuszczalników lub punktowe elementy odblaskowe, które mogą zostać naniesione albo wbudowane przez malowanie, natryskiwanie, </w:t>
      </w:r>
      <w:r>
        <w:rPr>
          <w:sz w:val="18"/>
          <w:szCs w:val="18"/>
        </w:rPr>
        <w:lastRenderedPageBreak/>
        <w:t>odlewanie, wytłaczanie, rolowanie, klejenie itp. na nawierzchnie drogowe, stosowane w temperaturze otoczenia lub w temperaturze podwyższonej. Materiały te powinny posiadać właściwości odblaskowe.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1.4.7. </w:t>
      </w:r>
      <w:r>
        <w:rPr>
          <w:sz w:val="18"/>
          <w:szCs w:val="18"/>
        </w:rPr>
        <w:t xml:space="preserve">Materiały do znakowania cienkowarstwowego - farby nakładane warstwą grubości od </w:t>
      </w:r>
      <w:smartTag w:uri="urn:schemas-microsoft-com:office:smarttags" w:element="metricconverter">
        <w:smartTagPr>
          <w:attr w:name="ProductID" w:val="0,3 mm"/>
        </w:smartTagPr>
        <w:r>
          <w:rPr>
            <w:sz w:val="18"/>
            <w:szCs w:val="18"/>
          </w:rPr>
          <w:t>0,3 mm</w:t>
        </w:r>
      </w:smartTag>
      <w:r>
        <w:rPr>
          <w:sz w:val="18"/>
          <w:szCs w:val="18"/>
        </w:rPr>
        <w:t xml:space="preserve"> do </w:t>
      </w:r>
      <w:smartTag w:uri="urn:schemas-microsoft-com:office:smarttags" w:element="metricconverter">
        <w:smartTagPr>
          <w:attr w:name="ProductID" w:val="0,8 mm"/>
        </w:smartTagPr>
        <w:r>
          <w:rPr>
            <w:sz w:val="18"/>
            <w:szCs w:val="18"/>
          </w:rPr>
          <w:t>0,8 mm</w:t>
        </w:r>
      </w:smartTag>
      <w:r>
        <w:rPr>
          <w:sz w:val="18"/>
          <w:szCs w:val="18"/>
        </w:rPr>
        <w:t>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1.4.8. </w:t>
      </w:r>
      <w:r>
        <w:rPr>
          <w:sz w:val="18"/>
          <w:szCs w:val="18"/>
        </w:rPr>
        <w:t>Oznakowanie nowe – oznakowanie, w którym zakończył się czas schnięcia i nie upłynęło 30 dni od wykonania oznakowania. Pomiary właściwości oznakowania należy wykonywać od 14 do 30 dnia po wykonaniu oznakowania.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1.4.9. </w:t>
      </w:r>
      <w:r>
        <w:rPr>
          <w:sz w:val="18"/>
          <w:szCs w:val="18"/>
        </w:rPr>
        <w:t>Tymczasowe oznakowanie drogowe – oznakowanie z materiału o barwie żółtej, którego czas użytkowania wynosi do 3 miesięcy lub do czasu zakończenia robót.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1.4.10.</w:t>
      </w:r>
      <w:r>
        <w:rPr>
          <w:sz w:val="18"/>
          <w:szCs w:val="18"/>
        </w:rPr>
        <w:t xml:space="preserve"> Powyższe i pozostałe określenia są zgodne z odpowiednimi polskimi normami i z definicjami podanymi w SST D-M-00.00.00 „Wymagania ogólne” pkt 1.4. 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9" w:name="_Toc239243297"/>
      <w:bookmarkStart w:id="10" w:name="_Toc239243224"/>
      <w:r>
        <w:rPr>
          <w:sz w:val="18"/>
          <w:szCs w:val="18"/>
        </w:rPr>
        <w:t>1.5. Ogólne wymagania dotyczące robót</w:t>
      </w:r>
      <w:bookmarkEnd w:id="9"/>
      <w:bookmarkEnd w:id="10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Ogólne wymagania dotyczące robót podano w SST D 00.00.00 „Wymagania ogólne” pkt. 1.5.</w:t>
      </w:r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pStyle w:val="Nagwek1"/>
        <w:keepLines/>
        <w:tabs>
          <w:tab w:val="left" w:pos="0"/>
        </w:tabs>
        <w:rPr>
          <w:sz w:val="18"/>
          <w:szCs w:val="18"/>
        </w:rPr>
      </w:pPr>
      <w:bookmarkStart w:id="11" w:name="_Toc239243298"/>
      <w:r>
        <w:rPr>
          <w:sz w:val="18"/>
          <w:szCs w:val="18"/>
        </w:rPr>
        <w:t xml:space="preserve">2. </w:t>
      </w:r>
      <w:bookmarkEnd w:id="11"/>
      <w:r>
        <w:rPr>
          <w:sz w:val="18"/>
          <w:szCs w:val="18"/>
        </w:rPr>
        <w:t>MATERIAŁY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12" w:name="_Toc239243299"/>
      <w:bookmarkStart w:id="13" w:name="_Toc239243226"/>
      <w:r>
        <w:rPr>
          <w:sz w:val="18"/>
          <w:szCs w:val="18"/>
        </w:rPr>
        <w:t>2.1. Ogólne wymagania dotyczące materiałów</w:t>
      </w:r>
      <w:bookmarkEnd w:id="12"/>
      <w:bookmarkEnd w:id="13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Ogólne wymagania dotyczące materiałów, ich pozyskiwania i składowania podano w SST D 00.00.00 „Wymagania ogólne” pkt. 2.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14" w:name="_Toc239243300"/>
      <w:bookmarkStart w:id="15" w:name="_Toc239243227"/>
      <w:r>
        <w:rPr>
          <w:sz w:val="18"/>
          <w:szCs w:val="18"/>
        </w:rPr>
        <w:t>2.2. Dokument dopuszczający do stosowania materiałów</w:t>
      </w:r>
      <w:bookmarkEnd w:id="14"/>
      <w:bookmarkEnd w:id="15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Materiały stosowane przez Wykonawcę do poziomego oznakowania dróg powinny spełniać warunki postawione w rozporządzeniu Ministra Infrastruktury. 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Producenci powinni oznakować wyroby znakiem budowlanym B, zgodnie z rozporządzeniem Ministra Infrastruktury, co oznacza wystawienie deklaracji zgodności z aprobatą techniczną (np. dla farb oraz mas chemoutwardzalnych i termoplastycznych) lub  znakiem CE, zgodnie z rozporządzeniem Ministra Infrastruktury, co oznacza wystawienie deklaracji zgodności z normą zharmonizowaną (np. dla kulek szklanych i punktowych elementów odblaskowych.</w:t>
      </w:r>
    </w:p>
    <w:p w:rsidR="00F74DFC" w:rsidRDefault="00F74DFC" w:rsidP="00F74DFC">
      <w:pPr>
        <w:pStyle w:val="Tekstpodstawowy2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Aprobaty techniczne wystawione przed czasem wejścia w życie rozporządzenia nie mogą być zmieniane lecz zachowują ważność przez okres, na jaki zostały wydane. W tym przypadku do oznakowania wyrobu znakiem budowlanym B wystarcza deklaracja zgodności z aprobatą techniczną.</w:t>
      </w:r>
    </w:p>
    <w:p w:rsidR="00F74DFC" w:rsidRDefault="00F74DFC" w:rsidP="00F74DFC">
      <w:pPr>
        <w:pStyle w:val="Tekstprzypisudolnego"/>
        <w:rPr>
          <w:sz w:val="18"/>
          <w:szCs w:val="18"/>
        </w:rPr>
      </w:pPr>
      <w:r>
        <w:rPr>
          <w:sz w:val="18"/>
          <w:szCs w:val="18"/>
        </w:rPr>
        <w:t>Powyższe zasady należy stosować także do oznakowań tymczasowych wykonywanych materiałami o barwie żółtej.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16" w:name="_Toc239243301"/>
      <w:bookmarkStart w:id="17" w:name="_Toc239243228"/>
      <w:r>
        <w:rPr>
          <w:sz w:val="18"/>
          <w:szCs w:val="18"/>
        </w:rPr>
        <w:t>2.3. Badanie materiałów, których jakość budzi wątpliwość</w:t>
      </w:r>
      <w:bookmarkEnd w:id="16"/>
      <w:bookmarkEnd w:id="17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Wykonawca powinien przeprowadzić dodatkowe badania tych materiałów, które budzą wątpliwości jego lub Inżyniera, co do jakości, w celu stwierdzenia czy odpowiadają one wymaganiom określonym w aprobacie technicznej. Badania te Wykonawca zleci IBDiM lub akredytowanemu laboratorium drogowemu. Badania powinny być wykonane zgodnie z PN-EN 1871:200 lub Warunkami Technicznymi POD-97  lub POD-2006 po ich wydaniu.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18" w:name="_Toc239243302"/>
      <w:bookmarkStart w:id="19" w:name="_Toc239243229"/>
      <w:r>
        <w:rPr>
          <w:sz w:val="18"/>
          <w:szCs w:val="18"/>
        </w:rPr>
        <w:t>2.4. Oznakowanie opakowań</w:t>
      </w:r>
      <w:bookmarkEnd w:id="18"/>
      <w:bookmarkEnd w:id="19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Wykonawca powinien żądać od producenta, aby oznakowanie opakowań materiałów do poziomego znakowania dróg było wykonane zgodnie z PN-O-</w:t>
      </w:r>
      <w:smartTag w:uri="urn:schemas-microsoft-com:office:smarttags" w:element="metricconverter">
        <w:smartTagPr>
          <w:attr w:name="ProductID" w:val="79252, a"/>
        </w:smartTagPr>
        <w:r>
          <w:rPr>
            <w:sz w:val="18"/>
            <w:szCs w:val="18"/>
          </w:rPr>
          <w:t>79252, a</w:t>
        </w:r>
      </w:smartTag>
      <w:r>
        <w:rPr>
          <w:sz w:val="18"/>
          <w:szCs w:val="18"/>
        </w:rPr>
        <w:t xml:space="preserve"> ponadto aby na każdym opakowaniu był umieszczony trwały napis zawierający: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nazwę i adres producenta,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datę produkcji i termin przydatności do użycia,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masę netto,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numer partii i datę produkcji,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informację, że wyrób posiada aprobatę techniczną IBDiM i jej numer,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nazwę jednostki certyfikującej i numer certyfikatu, jeśli dotyczy, 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znak budowlany „B” wg rozporządzenia Ministra Infrastruktury  i/lub znak „CE” wg rozporządzenia Ministra Infrastruktury,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informację o szkodliwości i klasie zagrożenia pożarowego,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ewentualne wskazówki dla użytkowników.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 przypadku farb rozpuszczalnikowych i wyrobów chemoutwardzalnych oznakowanie opakowania powinno być zgodne z rozporządzeniem Ministra Zdrowia.</w:t>
      </w:r>
    </w:p>
    <w:p w:rsidR="00F74DFC" w:rsidRDefault="00F74DFC" w:rsidP="00F74DFC">
      <w:pPr>
        <w:pStyle w:val="Nagwek2"/>
        <w:ind w:firstLine="0"/>
        <w:rPr>
          <w:sz w:val="18"/>
          <w:szCs w:val="18"/>
        </w:rPr>
      </w:pPr>
      <w:bookmarkStart w:id="20" w:name="_Toc239243303"/>
      <w:bookmarkStart w:id="21" w:name="_Toc239243230"/>
      <w:r>
        <w:rPr>
          <w:sz w:val="18"/>
          <w:szCs w:val="18"/>
        </w:rPr>
        <w:t>2.5. Przepisy określające wymagania dla materiałów</w:t>
      </w:r>
      <w:bookmarkEnd w:id="20"/>
      <w:bookmarkEnd w:id="21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Podstawowe wymagania dotyczące materiałów podano w punkcie 2.6, a szczegółowe wymagania określone są w Warunkach technicznych POD-97  lub POD-2006 po ich wydaniu.</w:t>
      </w:r>
    </w:p>
    <w:p w:rsidR="00F74DFC" w:rsidRDefault="00F74DFC" w:rsidP="00F74DFC">
      <w:pPr>
        <w:pStyle w:val="Nagwek2"/>
        <w:ind w:firstLine="0"/>
        <w:rPr>
          <w:sz w:val="18"/>
          <w:szCs w:val="18"/>
        </w:rPr>
      </w:pPr>
      <w:bookmarkStart w:id="22" w:name="_Toc239243304"/>
      <w:bookmarkStart w:id="23" w:name="_Toc239243231"/>
      <w:r>
        <w:rPr>
          <w:sz w:val="18"/>
          <w:szCs w:val="18"/>
        </w:rPr>
        <w:t>2.6. Wymagania wobec materiałów do poziomego oznakowania dróg</w:t>
      </w:r>
      <w:bookmarkEnd w:id="22"/>
      <w:bookmarkEnd w:id="23"/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2.6.1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Materiały do znakowania cienkowarstwowego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Materiałami do znakowania cienkowarstwowego powinny być farby nakładane warstwą grubości od </w:t>
      </w:r>
      <w:smartTag w:uri="urn:schemas-microsoft-com:office:smarttags" w:element="metricconverter">
        <w:smartTagPr>
          <w:attr w:name="ProductID" w:val="0,3 mm"/>
        </w:smartTagPr>
        <w:r>
          <w:rPr>
            <w:rFonts w:ascii="Times New Roman" w:hAnsi="Times New Roman"/>
            <w:sz w:val="18"/>
            <w:szCs w:val="18"/>
          </w:rPr>
          <w:t>0,3 mm</w:t>
        </w:r>
      </w:smartTag>
      <w:r>
        <w:rPr>
          <w:rFonts w:ascii="Times New Roman" w:hAnsi="Times New Roman"/>
          <w:sz w:val="18"/>
          <w:szCs w:val="18"/>
        </w:rPr>
        <w:t xml:space="preserve"> do </w:t>
      </w:r>
      <w:smartTag w:uri="urn:schemas-microsoft-com:office:smarttags" w:element="metricconverter">
        <w:smartTagPr>
          <w:attr w:name="ProductID" w:val="0,8 mm"/>
        </w:smartTagPr>
        <w:r>
          <w:rPr>
            <w:rFonts w:ascii="Times New Roman" w:hAnsi="Times New Roman"/>
            <w:sz w:val="18"/>
            <w:szCs w:val="18"/>
          </w:rPr>
          <w:t>0,8 mm</w:t>
        </w:r>
      </w:smartTag>
      <w:r>
        <w:rPr>
          <w:rFonts w:ascii="Times New Roman" w:hAnsi="Times New Roman"/>
          <w:sz w:val="18"/>
          <w:szCs w:val="18"/>
        </w:rPr>
        <w:t xml:space="preserve"> (na mokro). Powinny być nimi ciekłe produkty zawierające ciała stałe rozproszone w organicznym rozpuszczalniku lub wodzie, które mogą występować w układach jedno- lub wieloskładnikowych.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Podczas nakładania farb, do znakowania cienkowarstwowego, na nawierzchnię pędzlem, wałkiem lub przez natrysk, powinny one tworzyć warstwę kohezyjną w procesie odparowania i/lub w procesie chemicznym.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Właściwości fizyczne materiałów do znakowania cienkowarstwowego określa aprobata techniczna odpowiadająca wymaganiom POD-97 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2.6.2. </w:t>
      </w:r>
      <w:r>
        <w:rPr>
          <w:rFonts w:ascii="Times New Roman" w:hAnsi="Times New Roman"/>
          <w:sz w:val="18"/>
          <w:szCs w:val="18"/>
        </w:rPr>
        <w:t>Zawartość   składników   lotnych  w  materiałach   do  znakowania   cienkowarstwowego: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Zawartość składników lotnych (rozpuszczalników organicznych) nie powinna przekraczać w materiałach do znakowania: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cienkowarstwowego 30% (m/m).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Nie dopuszcza się stosowania materiałów zawierających rozpuszczalnik aromatyczny (jak np. toluen, ksylen) w ilości większej niż 10%. Nie dopuszcza się stosowania materiałów zawierających benzen i rozpuszczalniki chlorowane.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2.6.3. </w:t>
      </w:r>
      <w:r>
        <w:rPr>
          <w:rFonts w:ascii="Times New Roman" w:hAnsi="Times New Roman"/>
          <w:sz w:val="18"/>
          <w:szCs w:val="18"/>
        </w:rPr>
        <w:t>Punktowe elementy odblaskowe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deszczu.</w:t>
      </w:r>
    </w:p>
    <w:p w:rsidR="00F74DFC" w:rsidRDefault="00F74DFC" w:rsidP="00F74DFC">
      <w:pPr>
        <w:pStyle w:val="Textbody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Element odblaskowy (retroreflektor), będący częścią punktowego elementu odblaskowego może być: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 szklany lub plastikowy w całości lub z dodatkową warstwą odbijającą znajdującą się na powierzchni nie wystawionej na zewnątrz i nie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narażoną na przejeżdżanie pojazdów,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   plastikowy z warstwą zabezpieczającą przed ścieraniem, który może mieć warstwę odbijającą tylko w miejscu nie wystawionym na ruch i 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w którym powierzchnie wystawione na ruch są zabezpieczone warstwami odpornymi na ścieranie.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</w:p>
    <w:p w:rsidR="00F74DFC" w:rsidRDefault="00F74DFC" w:rsidP="00F74DFC">
      <w:pPr>
        <w:pStyle w:val="Textbody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</w:t>
      </w:r>
      <w:smartTag w:uri="urn:schemas-microsoft-com:office:smarttags" w:element="metricconverter">
        <w:smartTagPr>
          <w:attr w:name="ProductID" w:val="25 mm"/>
        </w:smartTagPr>
        <w:r>
          <w:rPr>
            <w:rFonts w:ascii="Times New Roman" w:hAnsi="Times New Roman"/>
            <w:sz w:val="18"/>
            <w:szCs w:val="18"/>
          </w:rPr>
          <w:t>25 mm</w:t>
        </w:r>
      </w:smartTag>
      <w:r>
        <w:rPr>
          <w:rFonts w:ascii="Times New Roman" w:hAnsi="Times New Roman"/>
          <w:sz w:val="18"/>
          <w:szCs w:val="18"/>
        </w:rPr>
        <w:t>. Barwa, w przypadku oznakowania trwałego, powinna być biała lub srebrzysta, a dla oznakowania czasowego - żółta.</w:t>
      </w:r>
    </w:p>
    <w:p w:rsidR="00F74DFC" w:rsidRDefault="00F74DFC" w:rsidP="00F74DFC">
      <w:pPr>
        <w:pStyle w:val="Textbody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Właściwości punktowego elementu odblaskowego określa aprobata techniczna, odpowiadająca wymaganiom POD-97.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2.6.4. </w:t>
      </w:r>
      <w:r>
        <w:rPr>
          <w:rFonts w:ascii="Times New Roman" w:hAnsi="Times New Roman"/>
          <w:sz w:val="18"/>
          <w:szCs w:val="18"/>
        </w:rPr>
        <w:t>Wymagania wobec materiałów ze względu na ochronę warunków pracy i środowiska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Materiały stosowane do znakowania nawierzchni nie powinny zawierać substancji zagrażających zdrowiu ludzi i powodujących skażenie środowiska.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24" w:name="_Toc239243305"/>
      <w:bookmarkStart w:id="25" w:name="_Toc239243232"/>
      <w:r>
        <w:rPr>
          <w:sz w:val="18"/>
          <w:szCs w:val="18"/>
        </w:rPr>
        <w:t>2.7. Przechowywanie i składowanie materiałów</w:t>
      </w:r>
      <w:bookmarkEnd w:id="24"/>
      <w:bookmarkEnd w:id="25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Materiały do oznakowania cienkowarstwowego nawierzchni powinny zachować stałość swoich właściwości chemicznych i fizykochemicznych przez okres co najmniej 6 miesięcy składowania w warunkach określonych przez producenta.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Materiały do poziomego oznakowania dróg należy przechowywać w magazynach odpowiadających zaleceniom producenta, zwłaszcza zabezpieczających je od napromieniowania słonecznego, opadów i w temperaturze, dla: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farb wodorozcieńczalnych od 5</w:t>
      </w:r>
      <w:r>
        <w:rPr>
          <w:sz w:val="18"/>
          <w:szCs w:val="18"/>
          <w:vertAlign w:val="superscript"/>
        </w:rPr>
        <w:t>o</w:t>
      </w:r>
      <w:r>
        <w:rPr>
          <w:sz w:val="18"/>
          <w:szCs w:val="18"/>
        </w:rPr>
        <w:t>C do 40</w:t>
      </w:r>
      <w:r>
        <w:rPr>
          <w:sz w:val="18"/>
          <w:szCs w:val="18"/>
          <w:vertAlign w:val="superscript"/>
        </w:rPr>
        <w:t>o</w:t>
      </w:r>
      <w:r>
        <w:rPr>
          <w:sz w:val="18"/>
          <w:szCs w:val="18"/>
        </w:rPr>
        <w:t>C,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farb rozpuszczalnikowych od -5</w:t>
      </w:r>
      <w:r>
        <w:rPr>
          <w:sz w:val="18"/>
          <w:szCs w:val="18"/>
          <w:vertAlign w:val="superscript"/>
        </w:rPr>
        <w:t>o</w:t>
      </w:r>
      <w:r>
        <w:rPr>
          <w:sz w:val="18"/>
          <w:szCs w:val="18"/>
        </w:rPr>
        <w:t>C do 25</w:t>
      </w:r>
      <w:r>
        <w:rPr>
          <w:sz w:val="18"/>
          <w:szCs w:val="18"/>
          <w:vertAlign w:val="superscript"/>
        </w:rPr>
        <w:t>o</w:t>
      </w:r>
      <w:r>
        <w:rPr>
          <w:sz w:val="18"/>
          <w:szCs w:val="18"/>
        </w:rPr>
        <w:t>C,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bookmarkStart w:id="26" w:name="_Toc239243306"/>
      <w:bookmarkStart w:id="27" w:name="_Toc239243233"/>
      <w:r>
        <w:rPr>
          <w:sz w:val="18"/>
          <w:szCs w:val="18"/>
        </w:rPr>
        <w:t>pozostałych materiałów - poniżej 40</w:t>
      </w:r>
      <w:r>
        <w:rPr>
          <w:sz w:val="18"/>
          <w:szCs w:val="18"/>
          <w:vertAlign w:val="superscript"/>
        </w:rPr>
        <w:t>o</w:t>
      </w:r>
      <w:r>
        <w:rPr>
          <w:sz w:val="18"/>
          <w:szCs w:val="18"/>
        </w:rPr>
        <w:t>C.</w:t>
      </w:r>
      <w:bookmarkEnd w:id="26"/>
      <w:bookmarkEnd w:id="27"/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pStyle w:val="Nagwek1"/>
        <w:keepLines/>
        <w:tabs>
          <w:tab w:val="left" w:pos="0"/>
        </w:tabs>
        <w:rPr>
          <w:sz w:val="18"/>
          <w:szCs w:val="18"/>
        </w:rPr>
      </w:pPr>
      <w:bookmarkStart w:id="28" w:name="_Toc239243307"/>
      <w:r>
        <w:rPr>
          <w:sz w:val="18"/>
          <w:szCs w:val="18"/>
        </w:rPr>
        <w:t xml:space="preserve">3. </w:t>
      </w:r>
      <w:bookmarkEnd w:id="28"/>
      <w:r>
        <w:rPr>
          <w:sz w:val="18"/>
          <w:szCs w:val="18"/>
        </w:rPr>
        <w:t>SPRZĘT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29" w:name="_Toc239243308"/>
      <w:bookmarkStart w:id="30" w:name="_Toc239243235"/>
      <w:r>
        <w:rPr>
          <w:sz w:val="18"/>
          <w:szCs w:val="18"/>
        </w:rPr>
        <w:t>3.1. Ogólne wymagania dotyczące sprzętu</w:t>
      </w:r>
      <w:bookmarkEnd w:id="29"/>
      <w:bookmarkEnd w:id="30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Ogólne wymagania dotyczące sprzętu podano w SST D 00.00.00 „Wymagania ogólne” pkt. 3.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31" w:name="_Toc239243310"/>
      <w:bookmarkStart w:id="32" w:name="_Toc239243237"/>
      <w:r>
        <w:rPr>
          <w:sz w:val="18"/>
          <w:szCs w:val="18"/>
        </w:rPr>
        <w:lastRenderedPageBreak/>
        <w:t>3.2. Sprzęt do wykonania oznakowania poziomego</w:t>
      </w:r>
      <w:bookmarkEnd w:id="31"/>
      <w:bookmarkEnd w:id="32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Wykonawca przystępujący do wykonania oznakowania poziomego, w zależności od zakresu robót, powinien wykazać się możliwością korzystania z następującego sprzętu, zaakceptowanego przez Inżyniera: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szczotek mechanicznych (zaleca się stosowanie szczotek wyposażonych w urządzenia odpylające) oraz szczotek ręcznych,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frezarek,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sprężarek,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malowarek,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układarek mas termoplastycznych i chemoutwardzalnych,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wyklejarek do taśm,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sprzętu do badań, określonego w SST.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Wykonawca powinien zapewnić odpowiednią jakość, ilość i wydajność malowarek lub układarek proporcjonalną do wielkości i czasu wykonania całego zakresu robót.</w:t>
      </w:r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pStyle w:val="Nagwek1"/>
        <w:keepLines/>
        <w:tabs>
          <w:tab w:val="left" w:pos="0"/>
        </w:tabs>
        <w:rPr>
          <w:sz w:val="18"/>
          <w:szCs w:val="18"/>
        </w:rPr>
      </w:pPr>
      <w:bookmarkStart w:id="33" w:name="_Toc239243311"/>
      <w:r>
        <w:rPr>
          <w:sz w:val="18"/>
          <w:szCs w:val="18"/>
        </w:rPr>
        <w:t xml:space="preserve">4. </w:t>
      </w:r>
      <w:bookmarkEnd w:id="33"/>
      <w:r>
        <w:rPr>
          <w:sz w:val="18"/>
          <w:szCs w:val="18"/>
        </w:rPr>
        <w:t>TRANSPORT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34" w:name="_Toc239243312"/>
      <w:bookmarkStart w:id="35" w:name="_Toc239243239"/>
      <w:r>
        <w:rPr>
          <w:sz w:val="18"/>
          <w:szCs w:val="18"/>
        </w:rPr>
        <w:t>4.1. Ogólne wymagania dotyczące transportu</w:t>
      </w:r>
      <w:bookmarkEnd w:id="34"/>
      <w:bookmarkEnd w:id="35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Ogólne wymagania dotyczące transportu podano w SST D 00.00.00 „Wymagania ogólne” pkt 4.</w:t>
      </w:r>
    </w:p>
    <w:p w:rsidR="00F74DFC" w:rsidRDefault="00F74DFC" w:rsidP="00F74DFC">
      <w:pPr>
        <w:pStyle w:val="Nagwek2"/>
        <w:ind w:firstLine="0"/>
        <w:rPr>
          <w:sz w:val="18"/>
          <w:szCs w:val="18"/>
        </w:rPr>
      </w:pPr>
      <w:bookmarkStart w:id="36" w:name="_Toc239243313"/>
      <w:bookmarkStart w:id="37" w:name="_Toc239243240"/>
      <w:r>
        <w:rPr>
          <w:sz w:val="18"/>
          <w:szCs w:val="18"/>
        </w:rPr>
        <w:t>4.2. Przewóz materiałów do poziomego znakowania dróg</w:t>
      </w:r>
      <w:bookmarkEnd w:id="36"/>
      <w:bookmarkEnd w:id="37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Materiały do poziomego znakowania dróg należy przewozić w opakowaniach zapewniających szczelność, bezpieczny transport i zachowanie wymaganych właściwości materiałów. Pojemniki powinny być oznakowane zgodnie z normą PN-O-79252. W przypadku  materiałów niebezpiecznych opakowania powinny być oznakowane zgodnie z rozporządzeniem Ministra Zdrowia.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  <w:bookmarkStart w:id="38" w:name="_Toc239243314"/>
      <w:bookmarkStart w:id="39" w:name="_Toc239243241"/>
      <w:r>
        <w:rPr>
          <w:sz w:val="18"/>
          <w:szCs w:val="18"/>
        </w:rPr>
        <w:t xml:space="preserve"> 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Pozostałe materiały do znakowania poziomego należy przewozić krytymi środkami transportowymi, chroniąc opakowania przed uszkodzeniem mechanicznym, zgodnie z PN-C-81400 oraz zgodnie z prawem przewozowym.</w:t>
      </w:r>
      <w:bookmarkEnd w:id="38"/>
      <w:bookmarkEnd w:id="39"/>
      <w:r>
        <w:rPr>
          <w:sz w:val="18"/>
          <w:szCs w:val="18"/>
        </w:rPr>
        <w:t xml:space="preserve"> </w:t>
      </w:r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pStyle w:val="Nagwek1"/>
        <w:keepLines/>
        <w:tabs>
          <w:tab w:val="left" w:pos="0"/>
        </w:tabs>
        <w:rPr>
          <w:sz w:val="18"/>
          <w:szCs w:val="18"/>
        </w:rPr>
      </w:pPr>
      <w:bookmarkStart w:id="40" w:name="_Toc239243315"/>
      <w:r>
        <w:rPr>
          <w:sz w:val="18"/>
          <w:szCs w:val="18"/>
        </w:rPr>
        <w:t xml:space="preserve">5. </w:t>
      </w:r>
      <w:bookmarkEnd w:id="40"/>
      <w:r>
        <w:rPr>
          <w:sz w:val="18"/>
          <w:szCs w:val="18"/>
        </w:rPr>
        <w:t>WYKONANIE ROBÓT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41" w:name="_Toc239243316"/>
      <w:bookmarkStart w:id="42" w:name="_Toc239243243"/>
      <w:r>
        <w:rPr>
          <w:sz w:val="18"/>
          <w:szCs w:val="18"/>
        </w:rPr>
        <w:t>5.1. Ogólne zasady wykonania robót</w:t>
      </w:r>
      <w:bookmarkEnd w:id="41"/>
      <w:bookmarkEnd w:id="42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Ogólne zasady wykonania robót podano w SST D 00.00.00 „Wymagania ogólne” pkt. 5.</w:t>
      </w:r>
    </w:p>
    <w:p w:rsidR="00F74DFC" w:rsidRDefault="00F74DFC" w:rsidP="00F74DFC">
      <w:pPr>
        <w:pStyle w:val="Nagwek2"/>
        <w:ind w:firstLine="0"/>
        <w:rPr>
          <w:sz w:val="18"/>
          <w:szCs w:val="18"/>
        </w:rPr>
      </w:pPr>
      <w:bookmarkStart w:id="43" w:name="_Toc239243317"/>
      <w:bookmarkStart w:id="44" w:name="_Toc239243244"/>
      <w:r>
        <w:rPr>
          <w:sz w:val="18"/>
          <w:szCs w:val="18"/>
        </w:rPr>
        <w:t>5.2. Warunki atmosferyczne</w:t>
      </w:r>
      <w:bookmarkEnd w:id="43"/>
      <w:bookmarkEnd w:id="44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 czasie wykonywania oznakowania temperatura nawierzchni i powietrza powinna wynosić co najmniej 5</w:t>
      </w:r>
      <w:r>
        <w:rPr>
          <w:sz w:val="18"/>
          <w:szCs w:val="18"/>
          <w:vertAlign w:val="superscript"/>
        </w:rPr>
        <w:t>o</w:t>
      </w:r>
      <w:r>
        <w:rPr>
          <w:sz w:val="18"/>
          <w:szCs w:val="18"/>
        </w:rPr>
        <w:t>C, a wilgotność względna powietrza powinna być zgodna z zaleceniami producenta lub wynosić co najwyżej 85%.</w:t>
      </w:r>
    </w:p>
    <w:p w:rsidR="00F74DFC" w:rsidRDefault="00F74DFC" w:rsidP="00F74DFC">
      <w:pPr>
        <w:pStyle w:val="Nagwek2"/>
        <w:ind w:firstLine="0"/>
        <w:rPr>
          <w:sz w:val="18"/>
          <w:szCs w:val="18"/>
        </w:rPr>
      </w:pPr>
      <w:bookmarkStart w:id="45" w:name="_Toc239243318"/>
      <w:bookmarkStart w:id="46" w:name="_Toc239243245"/>
      <w:r>
        <w:rPr>
          <w:sz w:val="18"/>
          <w:szCs w:val="18"/>
        </w:rPr>
        <w:t>5.3. Jednorodność nawierzchni znakowanej</w:t>
      </w:r>
      <w:bookmarkEnd w:id="45"/>
      <w:bookmarkEnd w:id="46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Poprawność wykonania znakowania wymaga jednorodności nawierzchni znakowanej. Nierówności i/lub miejsca napraw cząstkowych nawierzchni, które nie wyróżniają się od starej nawierzchni i nie mają większego rozmiaru niż 15% powierzchni znakowanej, uznaje się za powierzchnie jednorodne. Dla powierzchni niejednorodnych należy w SST ustalić: rozmiary powierzchni niejednorodnej zgodnie z Systemem Oceny Stanu Nawierzchni (SOSN), odkształcenia nawierzchni (otwarte złącza podłużne, koleiny, spękania, przełomy, garby), wymagania wobec materiału do oznakowania nawierzchni i wymagania wobec Wykonawcy.</w:t>
      </w:r>
    </w:p>
    <w:p w:rsidR="00F74DFC" w:rsidRDefault="00F74DFC" w:rsidP="00F74DFC">
      <w:pPr>
        <w:pStyle w:val="Nagwek2"/>
        <w:ind w:firstLine="0"/>
        <w:rPr>
          <w:sz w:val="18"/>
          <w:szCs w:val="18"/>
        </w:rPr>
      </w:pPr>
      <w:bookmarkStart w:id="47" w:name="_Toc239243319"/>
      <w:bookmarkStart w:id="48" w:name="_Toc239243246"/>
      <w:r>
        <w:rPr>
          <w:sz w:val="18"/>
          <w:szCs w:val="18"/>
        </w:rPr>
        <w:lastRenderedPageBreak/>
        <w:t>5.4. Przygotowanie podłoża do wykonania znakowania</w:t>
      </w:r>
      <w:bookmarkEnd w:id="47"/>
      <w:bookmarkEnd w:id="48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Przed wykonaniem znakowania poziomego należy oczyścić powierzchnię nawierzchni malowanej z pyłu, kurzu, piasku, smarów, olejów i innych zanieczyszczeń, przy użyciu sprzętu wymienionego w SST i zaakceptowanego przez Inspektora.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Powierzchnia nawierzchni przygotowana do wykonania oznakowania poziomego musi być czysta i sucha.</w:t>
      </w:r>
    </w:p>
    <w:p w:rsidR="00F74DFC" w:rsidRDefault="00F74DFC" w:rsidP="00F74DFC">
      <w:pPr>
        <w:pStyle w:val="Nagwek2"/>
        <w:ind w:firstLine="0"/>
        <w:rPr>
          <w:sz w:val="18"/>
          <w:szCs w:val="18"/>
        </w:rPr>
      </w:pPr>
      <w:bookmarkStart w:id="49" w:name="_Toc239243320"/>
      <w:bookmarkStart w:id="50" w:name="_Toc239243247"/>
      <w:r>
        <w:rPr>
          <w:sz w:val="18"/>
          <w:szCs w:val="18"/>
        </w:rPr>
        <w:t>5.5. Przedznakowanie</w:t>
      </w:r>
      <w:bookmarkEnd w:id="49"/>
      <w:bookmarkEnd w:id="50"/>
    </w:p>
    <w:p w:rsidR="00F74DFC" w:rsidRDefault="00F74DFC" w:rsidP="00F74DFC">
      <w:pPr>
        <w:jc w:val="both"/>
        <w:rPr>
          <w:sz w:val="18"/>
          <w:szCs w:val="18"/>
          <w:shd w:val="clear" w:color="auto" w:fill="FFFFFF"/>
        </w:rPr>
      </w:pPr>
      <w:r>
        <w:rPr>
          <w:sz w:val="18"/>
          <w:szCs w:val="18"/>
        </w:rPr>
        <w:t xml:space="preserve">W celu dokładnego wykonania poziomego oznakowania drogi, można wykonać przedznakowanie, stosując się do ustaleń zawartych w dokumentacji projektowej, w </w:t>
      </w:r>
      <w:r>
        <w:rPr>
          <w:sz w:val="18"/>
          <w:szCs w:val="18"/>
          <w:shd w:val="clear" w:color="auto" w:fill="FFFFFF"/>
        </w:rPr>
        <w:t>załączniku nr 2 do rozporządzenia Ministra Infrastruktury, SST i wskazaniach Inżyniera.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Do wykonania przedznakowania można stosować nietrwałą farbę, np. farbę silnie rozcieńczoną rozpuszczalnikiem. Zaleca się wykonywanie przedznakowania w postaci cienkich linii lub kropek. Początek i koniec znakowania należy zaznaczyć małą kreską poprzeczną.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 przypadku odnawiania oznakowania drogi, gdy stare oznakowanie jest wystarczająco czytelne i zgodne z dokumentacją projektową, można przedznakowania nie wykonywać.</w:t>
      </w:r>
    </w:p>
    <w:p w:rsidR="00F74DFC" w:rsidRDefault="00F74DFC" w:rsidP="00F74DFC">
      <w:pPr>
        <w:pStyle w:val="Nagwek2"/>
        <w:ind w:firstLine="0"/>
        <w:rPr>
          <w:sz w:val="18"/>
          <w:szCs w:val="18"/>
        </w:rPr>
      </w:pPr>
      <w:bookmarkStart w:id="51" w:name="_Toc239243321"/>
      <w:bookmarkStart w:id="52" w:name="_Toc239243248"/>
      <w:r>
        <w:rPr>
          <w:sz w:val="18"/>
          <w:szCs w:val="18"/>
        </w:rPr>
        <w:t>5.6. Wykonanie oznakowania drogi</w:t>
      </w:r>
      <w:bookmarkEnd w:id="51"/>
      <w:bookmarkEnd w:id="52"/>
    </w:p>
    <w:p w:rsidR="00F74DFC" w:rsidRDefault="00F74DFC" w:rsidP="00F74DFC">
      <w:pPr>
        <w:pStyle w:val="Nagwek2"/>
        <w:ind w:firstLine="0"/>
        <w:rPr>
          <w:b w:val="0"/>
          <w:sz w:val="18"/>
          <w:szCs w:val="18"/>
        </w:rPr>
      </w:pPr>
      <w:bookmarkStart w:id="53" w:name="_Toc239243322"/>
      <w:bookmarkStart w:id="54" w:name="_Toc239243249"/>
      <w:r>
        <w:rPr>
          <w:sz w:val="18"/>
          <w:szCs w:val="18"/>
        </w:rPr>
        <w:t>5.6.1.</w:t>
      </w:r>
      <w:r>
        <w:rPr>
          <w:b w:val="0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b w:val="0"/>
          <w:sz w:val="18"/>
          <w:szCs w:val="18"/>
        </w:rPr>
        <w:t>Dostarczenie materiałów i spełnienie zaleceń producenta materiałów</w:t>
      </w:r>
      <w:bookmarkEnd w:id="53"/>
      <w:bookmarkEnd w:id="54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Materiały do znakowania drogi, spełniające wymagania podane w punkcie 2, powinny być dostarczone w oryginalnych opakowaniach handlowych i stosowane zgodnie z zaleceniami SST, producenta oraz wymaganiami znajdującymi się w aprobacie technicznej.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5.6.2. </w:t>
      </w:r>
      <w:r>
        <w:rPr>
          <w:sz w:val="18"/>
          <w:szCs w:val="18"/>
        </w:rPr>
        <w:t>Wykonanie oznakowania drogi materiałami grubowarstwowymi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 Materiały do znakowania drogi, spełniające wymagania podane w punkcie 2, powinny być dostarczone w oryginalnych opakowaniach handlowych i stosowane zgodnie z zaleceniami SST, producenta oraz wymaganiami znajdującymi się w aprobacie technicznej.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5.6.2</w:t>
      </w:r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sz w:val="18"/>
          <w:szCs w:val="18"/>
        </w:rPr>
        <w:t>Wykonanie znakowania drogi materiałami cienkowarstwowymi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Wykonanie znakowania powinno być zgodne z zaleceniami producenta materiałów, a w przypadku ich braku lub niepełnych danych - zgodne z poniższymi wskazaniami.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Farbę do znakowania cienkowarstwowego po otwarciu opakowania należy wymieszać w czasie od 2 do 4 min do uzyskania pełnej jednorodności. Przed lub w czasie napełniania zbiornika malowarki zaleca się przecedzić farbę przez sito </w:t>
      </w:r>
      <w:smartTag w:uri="urn:schemas-microsoft-com:office:smarttags" w:element="metricconverter">
        <w:smartTagPr>
          <w:attr w:name="ProductID" w:val="0,6 mm"/>
        </w:smartTagPr>
        <w:r>
          <w:rPr>
            <w:rFonts w:ascii="Times New Roman" w:hAnsi="Times New Roman"/>
            <w:sz w:val="18"/>
            <w:szCs w:val="18"/>
          </w:rPr>
          <w:t>0,6 mm</w:t>
        </w:r>
      </w:smartTag>
      <w:r>
        <w:rPr>
          <w:rFonts w:ascii="Times New Roman" w:hAnsi="Times New Roman"/>
          <w:sz w:val="18"/>
          <w:szCs w:val="18"/>
        </w:rPr>
        <w:t>. Nie wolno stosować do malowania mechanicznego farby, w której osad na dnie opakowania nie daje się całkowicie wymieszać lub na jej powierzchni znajduje się kożuch.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Farbę należy nakładać równomierną warstwą o grubości ustalonej w SST, zachowując wymiary i ostrość krawędzi. Grubość nanoszonej warstwy zaleca się kontrolować przy pomocy grzebienia pomiarowego na płytce szklanej lub metalowej podkładanej na drodze malowarki. Ilość farby zużyta w czasie prac, określona przez średnie zużycie na metr kwadratowy nie może się różnić od ilości ustalonej, więcej niż o 20%.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Wszystkie większe prace powinny być wykonane przy użyciu samojezdnych malowarek z automatycznym podziałem linii i posypywaniem kulkami szklanymi z ew. materiałem uszorstniającym. W przypadku mniejszych prac, wielkość, wydajność i jakość sprzętu należy dostosować do zakresu i rozmiaru prac. Decyzję dotyczącą rodzaju sprzętu i sposobu wykonania znakowania podejmuje Inżynier na wniosek Wykonawcy.</w:t>
      </w:r>
    </w:p>
    <w:p w:rsidR="00F74DFC" w:rsidRDefault="00F74DFC" w:rsidP="00F74DFC">
      <w:pPr>
        <w:jc w:val="both"/>
        <w:rPr>
          <w:rFonts w:ascii="Times New Roman" w:hAnsi="Times New Roman"/>
          <w:sz w:val="18"/>
          <w:szCs w:val="18"/>
        </w:rPr>
      </w:pPr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pStyle w:val="Nagwek1"/>
        <w:keepLines/>
        <w:tabs>
          <w:tab w:val="left" w:pos="0"/>
        </w:tabs>
        <w:rPr>
          <w:sz w:val="18"/>
          <w:szCs w:val="18"/>
        </w:rPr>
      </w:pPr>
      <w:bookmarkStart w:id="55" w:name="_Toc239243324"/>
      <w:r>
        <w:rPr>
          <w:sz w:val="18"/>
          <w:szCs w:val="18"/>
        </w:rPr>
        <w:t xml:space="preserve">6. </w:t>
      </w:r>
      <w:bookmarkEnd w:id="55"/>
      <w:r>
        <w:rPr>
          <w:sz w:val="18"/>
          <w:szCs w:val="18"/>
        </w:rPr>
        <w:t>KONTROLA JAKOŚCI ROBÓT</w:t>
      </w:r>
    </w:p>
    <w:p w:rsidR="00F74DFC" w:rsidRDefault="00F74DFC" w:rsidP="00F74DFC">
      <w:pPr>
        <w:rPr>
          <w:b/>
          <w:sz w:val="18"/>
          <w:szCs w:val="18"/>
        </w:rPr>
      </w:pPr>
      <w:r>
        <w:rPr>
          <w:b/>
          <w:sz w:val="18"/>
          <w:szCs w:val="18"/>
        </w:rPr>
        <w:t>6.1. Ogólne zasady kontroli jakości robót</w:t>
      </w:r>
    </w:p>
    <w:p w:rsidR="00F74DFC" w:rsidRDefault="00F74DFC" w:rsidP="00F74DFC">
      <w:pPr>
        <w:rPr>
          <w:sz w:val="18"/>
          <w:szCs w:val="18"/>
        </w:rPr>
      </w:pPr>
      <w:r>
        <w:rPr>
          <w:sz w:val="18"/>
          <w:szCs w:val="18"/>
        </w:rPr>
        <w:t>Ogólne zasady kontroli jakości robót podano w OST D-M-00.00.00 „Wymagania ogólne” pkt. 6.</w:t>
      </w:r>
    </w:p>
    <w:p w:rsidR="00F74DFC" w:rsidRDefault="00F74DFC" w:rsidP="00F74DFC">
      <w:pPr>
        <w:rPr>
          <w:b/>
          <w:sz w:val="18"/>
          <w:szCs w:val="18"/>
        </w:rPr>
      </w:pPr>
      <w:r>
        <w:rPr>
          <w:b/>
          <w:sz w:val="18"/>
          <w:szCs w:val="18"/>
        </w:rPr>
        <w:t>6.2. Badanie przygotowania podłoża i przedznakowania</w:t>
      </w:r>
    </w:p>
    <w:p w:rsidR="00F74DFC" w:rsidRDefault="00F74DFC" w:rsidP="00F74DFC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Powierzchnia jezdni przed wykonaniem znakowania poziomego musi być całkowicie czysta i sucha.</w:t>
      </w:r>
    </w:p>
    <w:p w:rsidR="00F74DFC" w:rsidRDefault="00F74DFC" w:rsidP="00F74DFC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Przedznakowanie powinno być wykonane zgodnie z wymaganiami punktu 5.5.</w:t>
      </w:r>
    </w:p>
    <w:p w:rsidR="00F74DFC" w:rsidRDefault="00F74DFC" w:rsidP="00F74DFC">
      <w:pPr>
        <w:rPr>
          <w:b/>
          <w:sz w:val="18"/>
          <w:szCs w:val="18"/>
        </w:rPr>
      </w:pPr>
      <w:r>
        <w:rPr>
          <w:b/>
          <w:sz w:val="18"/>
          <w:szCs w:val="18"/>
        </w:rPr>
        <w:t>6.3. Badania wykonania oznakowania poziomego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6.3.1. </w:t>
      </w:r>
      <w:r>
        <w:rPr>
          <w:sz w:val="18"/>
          <w:szCs w:val="18"/>
        </w:rPr>
        <w:t>Wymagania wobec oznakowania poziomego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6.3.1.1</w:t>
      </w:r>
      <w:r>
        <w:rPr>
          <w:sz w:val="18"/>
          <w:szCs w:val="18"/>
        </w:rPr>
        <w:t xml:space="preserve"> Widzialność w dzień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Widzialność oznakowania w dzień jest określona współczynnikiem luminancji </w:t>
      </w:r>
      <w:r>
        <w:rPr>
          <w:sz w:val="18"/>
          <w:szCs w:val="18"/>
        </w:rPr>
        <w:sym w:font="Symbol" w:char="0062"/>
      </w:r>
      <w:r>
        <w:rPr>
          <w:sz w:val="18"/>
          <w:szCs w:val="18"/>
        </w:rPr>
        <w:t xml:space="preserve"> i barwą oznakowania wyrażoną współrzędnymi chromatyczności.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Wartość współczynnika </w:t>
      </w:r>
      <w:r>
        <w:rPr>
          <w:sz w:val="18"/>
          <w:szCs w:val="18"/>
        </w:rPr>
        <w:sym w:font="Symbol" w:char="0062"/>
      </w:r>
      <w:r>
        <w:rPr>
          <w:sz w:val="18"/>
          <w:szCs w:val="18"/>
        </w:rPr>
        <w:t xml:space="preserve"> powinna wynosić dla oznakowania nowego </w:t>
      </w:r>
      <w:r>
        <w:rPr>
          <w:spacing w:val="-3"/>
          <w:sz w:val="18"/>
          <w:szCs w:val="18"/>
        </w:rPr>
        <w:t>w terminie od 14 do 30 dnia po wykonaniu</w:t>
      </w:r>
      <w:r>
        <w:rPr>
          <w:sz w:val="18"/>
          <w:szCs w:val="18"/>
        </w:rPr>
        <w:t>, barwy: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białej, na nawierzchni asfaltowej , co najmniej 0,40, klasa B3,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białej, na nawierzchni betonowej, co najmniej 0,50, klasa B4,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żółtej, co najmniej 0,30, klasa B2.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Wartość współczynnika </w:t>
      </w:r>
      <w:r>
        <w:rPr>
          <w:sz w:val="18"/>
          <w:szCs w:val="18"/>
        </w:rPr>
        <w:sym w:font="Symbol" w:char="0062"/>
      </w:r>
      <w:r>
        <w:rPr>
          <w:sz w:val="18"/>
          <w:szCs w:val="18"/>
        </w:rPr>
        <w:t xml:space="preserve"> powinna wynosić po 30 dniu od wykonania dla całego okresu użytkowania oznakowania, barwy: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białej, na nawierzchni asfaltowej , co najmniej 0,30, klasa B2,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białej, na nawierzchni betonowej, co najmniej 0,40, klasa B3,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żółtej, co najmniej 0,20 klasa B1. 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Barwa oznakowania powinna być określona wg PN-EN 1436:2000 przez współrzędne chromatyczności x i y, które dla suchego oznakowania powinny leżeć w obszarze zdefiniowanym przez cztery punkty narożne podane w tablicy 1 i na wykresach (rys. 1, 2 i 3).</w:t>
      </w:r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  <w:r>
        <w:rPr>
          <w:sz w:val="18"/>
          <w:szCs w:val="18"/>
        </w:rPr>
        <w:t>Tablica 1. Punkty narożne obszarów chromatyczności oznakowań dróg</w:t>
      </w:r>
    </w:p>
    <w:tbl>
      <w:tblPr>
        <w:tblW w:w="0" w:type="auto"/>
        <w:jc w:val="center"/>
        <w:tblLayout w:type="fixed"/>
        <w:tblCellMar>
          <w:left w:w="157" w:type="dxa"/>
          <w:right w:w="157" w:type="dxa"/>
        </w:tblCellMar>
        <w:tblLook w:val="04A0"/>
      </w:tblPr>
      <w:tblGrid>
        <w:gridCol w:w="2601"/>
        <w:gridCol w:w="425"/>
        <w:gridCol w:w="1110"/>
        <w:gridCol w:w="1111"/>
        <w:gridCol w:w="1110"/>
        <w:gridCol w:w="1136"/>
      </w:tblGrid>
      <w:tr w:rsidR="00F74DFC" w:rsidTr="00F74DFC">
        <w:trPr>
          <w:trHeight w:val="398"/>
          <w:jc w:val="center"/>
        </w:trPr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120" w:after="120"/>
              <w:rPr>
                <w:bCs/>
                <w:spacing w:val="-3"/>
                <w:sz w:val="18"/>
                <w:szCs w:val="18"/>
              </w:rPr>
            </w:pPr>
            <w:r>
              <w:rPr>
                <w:bCs/>
                <w:spacing w:val="-3"/>
                <w:sz w:val="18"/>
                <w:szCs w:val="18"/>
              </w:rPr>
              <w:t>Punkt narożny nr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120" w:after="120"/>
              <w:jc w:val="center"/>
              <w:rPr>
                <w:bCs/>
                <w:spacing w:val="-3"/>
                <w:sz w:val="18"/>
                <w:szCs w:val="18"/>
              </w:rPr>
            </w:pPr>
            <w:r>
              <w:rPr>
                <w:bCs/>
                <w:spacing w:val="-3"/>
                <w:sz w:val="18"/>
                <w:szCs w:val="18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120" w:after="120"/>
              <w:jc w:val="center"/>
              <w:rPr>
                <w:bCs/>
                <w:spacing w:val="-3"/>
                <w:sz w:val="18"/>
                <w:szCs w:val="18"/>
              </w:rPr>
            </w:pPr>
            <w:r>
              <w:rPr>
                <w:bCs/>
                <w:spacing w:val="-3"/>
                <w:sz w:val="18"/>
                <w:szCs w:val="18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120" w:after="120"/>
              <w:jc w:val="center"/>
              <w:rPr>
                <w:bCs/>
                <w:spacing w:val="-3"/>
                <w:sz w:val="18"/>
                <w:szCs w:val="18"/>
              </w:rPr>
            </w:pPr>
            <w:r>
              <w:rPr>
                <w:bCs/>
                <w:spacing w:val="-3"/>
                <w:sz w:val="18"/>
                <w:szCs w:val="18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120" w:after="120"/>
              <w:jc w:val="center"/>
              <w:rPr>
                <w:bCs/>
                <w:spacing w:val="-3"/>
                <w:sz w:val="18"/>
                <w:szCs w:val="18"/>
              </w:rPr>
            </w:pPr>
            <w:r>
              <w:rPr>
                <w:bCs/>
                <w:spacing w:val="-3"/>
                <w:sz w:val="18"/>
                <w:szCs w:val="18"/>
              </w:rPr>
              <w:t>4</w:t>
            </w:r>
          </w:p>
        </w:tc>
      </w:tr>
      <w:tr w:rsidR="00F74DFC" w:rsidTr="00F74DFC">
        <w:trPr>
          <w:jc w:val="center"/>
        </w:trPr>
        <w:tc>
          <w:tcPr>
            <w:tcW w:w="2601" w:type="dxa"/>
            <w:tcBorders>
              <w:top w:val="double" w:sz="2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pStyle w:val="Stopka"/>
              <w:tabs>
                <w:tab w:val="left" w:pos="-720"/>
              </w:tabs>
              <w:snapToGrid w:val="0"/>
              <w:spacing w:before="20" w:after="20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Oznakowanie białe</w:t>
            </w:r>
          </w:p>
        </w:tc>
        <w:tc>
          <w:tcPr>
            <w:tcW w:w="425" w:type="dxa"/>
            <w:tcBorders>
              <w:top w:val="double" w:sz="2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x</w:t>
            </w:r>
          </w:p>
        </w:tc>
        <w:tc>
          <w:tcPr>
            <w:tcW w:w="1110" w:type="dxa"/>
            <w:tcBorders>
              <w:top w:val="double" w:sz="2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0,355</w:t>
            </w:r>
          </w:p>
        </w:tc>
        <w:tc>
          <w:tcPr>
            <w:tcW w:w="1111" w:type="dxa"/>
            <w:tcBorders>
              <w:top w:val="double" w:sz="2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0,305</w:t>
            </w:r>
          </w:p>
        </w:tc>
        <w:tc>
          <w:tcPr>
            <w:tcW w:w="1110" w:type="dxa"/>
            <w:tcBorders>
              <w:top w:val="double" w:sz="2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0,285</w:t>
            </w:r>
          </w:p>
        </w:tc>
        <w:tc>
          <w:tcPr>
            <w:tcW w:w="1136" w:type="dxa"/>
            <w:tcBorders>
              <w:top w:val="double" w:sz="2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0,335</w:t>
            </w:r>
          </w:p>
        </w:tc>
      </w:tr>
      <w:tr w:rsidR="00F74DFC" w:rsidTr="00F74DFC">
        <w:trPr>
          <w:jc w:val="center"/>
        </w:trPr>
        <w:tc>
          <w:tcPr>
            <w:tcW w:w="26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rPr>
                <w:spacing w:val="-3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y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0,355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0,305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0,325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0,375</w:t>
            </w:r>
          </w:p>
        </w:tc>
      </w:tr>
      <w:tr w:rsidR="00F74DFC" w:rsidTr="00F74DFC">
        <w:trPr>
          <w:jc w:val="center"/>
        </w:trPr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Oznakowanie żółte klasa Y1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x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0,443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0,545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0,465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0,389</w:t>
            </w:r>
          </w:p>
        </w:tc>
      </w:tr>
      <w:tr w:rsidR="00F74DFC" w:rsidTr="00F74DFC">
        <w:trPr>
          <w:jc w:val="center"/>
        </w:trPr>
        <w:tc>
          <w:tcPr>
            <w:tcW w:w="26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rPr>
                <w:spacing w:val="-3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y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0,399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0,455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0,535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0,431</w:t>
            </w:r>
          </w:p>
        </w:tc>
      </w:tr>
      <w:tr w:rsidR="00F74DFC" w:rsidTr="00F74DFC">
        <w:trPr>
          <w:jc w:val="center"/>
        </w:trPr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Oznakowanie żółte klasa Y2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x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0,494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0,545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0,465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0,427</w:t>
            </w:r>
          </w:p>
        </w:tc>
      </w:tr>
      <w:tr w:rsidR="00F74DFC" w:rsidTr="00F74DFC">
        <w:trPr>
          <w:jc w:val="center"/>
        </w:trPr>
        <w:tc>
          <w:tcPr>
            <w:tcW w:w="26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rPr>
                <w:spacing w:val="-3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y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0,427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0,455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0,535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0,483</w:t>
            </w:r>
          </w:p>
        </w:tc>
      </w:tr>
      <w:tr w:rsidR="00F74DFC" w:rsidTr="00F74DFC">
        <w:trPr>
          <w:jc w:val="center"/>
        </w:trPr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Oznakowanie czerwone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x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0,690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0,530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0,495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0,655</w:t>
            </w:r>
          </w:p>
        </w:tc>
      </w:tr>
      <w:tr w:rsidR="00F74DFC" w:rsidTr="00F74DFC">
        <w:trPr>
          <w:jc w:val="center"/>
        </w:trPr>
        <w:tc>
          <w:tcPr>
            <w:tcW w:w="26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rPr>
                <w:spacing w:val="-3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y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0,310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0,335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0,345</w:t>
            </w:r>
          </w:p>
        </w:tc>
      </w:tr>
      <w:tr w:rsidR="00F74DFC" w:rsidTr="00F74DFC">
        <w:trPr>
          <w:jc w:val="center"/>
        </w:trPr>
        <w:tc>
          <w:tcPr>
            <w:tcW w:w="260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F74DFC" w:rsidRDefault="00F74DFC">
            <w:pPr>
              <w:pStyle w:val="Stopka"/>
              <w:tabs>
                <w:tab w:val="left" w:pos="-720"/>
              </w:tabs>
              <w:snapToGrid w:val="0"/>
              <w:spacing w:before="20" w:after="20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Oznakowanie niebieskie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x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0,078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0,200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0,240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0,137</w:t>
            </w:r>
          </w:p>
        </w:tc>
      </w:tr>
      <w:tr w:rsidR="00F74DFC" w:rsidTr="00F74DFC">
        <w:trPr>
          <w:jc w:val="center"/>
        </w:trPr>
        <w:tc>
          <w:tcPr>
            <w:tcW w:w="26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rPr>
                <w:spacing w:val="-3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y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0,171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0,255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0,210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DFC" w:rsidRDefault="00F74DFC">
            <w:pPr>
              <w:tabs>
                <w:tab w:val="left" w:pos="-720"/>
              </w:tabs>
              <w:suppressAutoHyphens/>
              <w:snapToGrid w:val="0"/>
              <w:spacing w:before="20" w:after="20"/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0,038</w:t>
            </w:r>
          </w:p>
        </w:tc>
      </w:tr>
    </w:tbl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  <w:r>
        <w:rPr>
          <w:sz w:val="18"/>
          <w:szCs w:val="18"/>
        </w:rPr>
        <w:t>Rys. 1. Współrzędne chromatyczności x,y dla barwy białej oznakowania</w:t>
      </w:r>
    </w:p>
    <w:p w:rsidR="00F74DFC" w:rsidRDefault="00F74DFC" w:rsidP="00F74DFC">
      <w:pPr>
        <w:pStyle w:val="Stopka"/>
        <w:tabs>
          <w:tab w:val="left" w:pos="708"/>
        </w:tabs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>
            <wp:extent cx="2838450" cy="235267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352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rPr>
          <w:sz w:val="18"/>
          <w:szCs w:val="18"/>
        </w:rPr>
      </w:pPr>
      <w:r>
        <w:rPr>
          <w:sz w:val="18"/>
          <w:szCs w:val="18"/>
        </w:rPr>
        <w:t>Rys.2. Współrzędne chromatyczności x,y dla barwy żółtej oznakowania</w:t>
      </w:r>
    </w:p>
    <w:p w:rsidR="00F74DFC" w:rsidRDefault="00F74DFC" w:rsidP="00F74DFC">
      <w:pPr>
        <w:pStyle w:val="Stopka"/>
        <w:tabs>
          <w:tab w:val="left" w:pos="708"/>
        </w:tabs>
        <w:rPr>
          <w:sz w:val="18"/>
          <w:szCs w:val="18"/>
        </w:rPr>
      </w:pPr>
    </w:p>
    <w:p w:rsidR="00F74DFC" w:rsidRDefault="00F74DFC" w:rsidP="00F74DFC">
      <w:pPr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181350" cy="272415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724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DFC" w:rsidRDefault="00F74DFC" w:rsidP="00F74DFC">
      <w:pPr>
        <w:pStyle w:val="Tekstkomentarza1"/>
        <w:tabs>
          <w:tab w:val="left" w:pos="-720"/>
        </w:tabs>
        <w:spacing w:before="0"/>
        <w:rPr>
          <w:rFonts w:ascii="Times New Roman" w:hAnsi="Times New Roman"/>
          <w:spacing w:val="-3"/>
          <w:sz w:val="18"/>
          <w:szCs w:val="18"/>
        </w:rPr>
      </w:pPr>
      <w:r>
        <w:rPr>
          <w:rFonts w:ascii="Times New Roman" w:hAnsi="Times New Roman"/>
          <w:spacing w:val="-3"/>
          <w:sz w:val="18"/>
          <w:szCs w:val="18"/>
        </w:rPr>
        <w:t>Rys. 3. Granice barw białej, żółtej, czerwonej, niebieskiej i zielonej oznakowania</w:t>
      </w:r>
    </w:p>
    <w:p w:rsidR="00F74DFC" w:rsidRDefault="00F74DFC" w:rsidP="00F74DFC">
      <w:pPr>
        <w:jc w:val="center"/>
        <w:rPr>
          <w:rFonts w:ascii="Times New Roman" w:hAnsi="Times New Roman"/>
          <w:spacing w:val="-3"/>
          <w:sz w:val="18"/>
          <w:szCs w:val="18"/>
        </w:rPr>
      </w:pPr>
      <w:r>
        <w:rPr>
          <w:b/>
          <w:noProof/>
          <w:sz w:val="18"/>
          <w:szCs w:val="18"/>
        </w:rPr>
        <w:lastRenderedPageBreak/>
        <w:drawing>
          <wp:inline distT="0" distB="0" distL="0" distR="0">
            <wp:extent cx="3105150" cy="3343275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343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DFC" w:rsidRDefault="00F74DFC" w:rsidP="00F74DFC">
      <w:pPr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Pomiar współczynnika luminancji </w:t>
      </w:r>
      <w:r>
        <w:rPr>
          <w:sz w:val="18"/>
          <w:szCs w:val="18"/>
        </w:rPr>
        <w:sym w:font="Symbol" w:char="0062"/>
      </w:r>
      <w:r>
        <w:rPr>
          <w:sz w:val="18"/>
          <w:szCs w:val="18"/>
        </w:rPr>
        <w:t xml:space="preserve"> może być zastąpiony pomiarem współczynnika luminancji w świetle rozproszonym Qd, wg PN-EN 1436:2000  lub wg POD-97  i POD-2006 (po wydaniu).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Do określenia odbicia światła dziennego lub odbicia oświetlenia drogi od oznakowania stosuje się współczynnik luminancji w świetle rozproszonym Qd. 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Wartość współczynnika Qd dla oznakowania nowego w ciągu 14 - 30 dni po wykonaniu powinna wynosić dla oznakowania świeżego, barwy: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białej, co najmniej 130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 xml:space="preserve"> (nawierzchnie asfaltowe), klasa Q3,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białej, co najmniej 160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 xml:space="preserve"> (nawierzchnie betonowe), klasa Q4,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żółtej, co najmniej 100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), klasa Q2.</w:t>
      </w:r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Wartość współczynnika Qd powinna wynosić dla oznakowania eksploatowanego po 30 dniu od wykonania, w ciągu całego okresu użytkowania,  barwy: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białej, co najmniej 100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(nawierzchnie asfaltowe), klasa Q2,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białej, co najmniej 130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(nawierzchnie betonowe), klasa Q3,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żółtej, co najmniej 80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, klasa Q1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6.3.1.2</w:t>
      </w:r>
      <w:r>
        <w:rPr>
          <w:sz w:val="18"/>
          <w:szCs w:val="18"/>
        </w:rPr>
        <w:t xml:space="preserve"> Widzialność w nocy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Za miarę widzialności w nocy przyjęto powierzchniowy współczynnik odblasku R</w:t>
      </w:r>
      <w:r>
        <w:rPr>
          <w:sz w:val="18"/>
          <w:szCs w:val="18"/>
          <w:vertAlign w:val="subscript"/>
        </w:rPr>
        <w:t>L</w:t>
      </w:r>
      <w:r>
        <w:rPr>
          <w:sz w:val="18"/>
          <w:szCs w:val="18"/>
        </w:rPr>
        <w:t>, określany według PN-EN 1436:2000  z uwzględnieniem podziału na klasy PN-EN 1436:2000/A1:2005.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Wartość współczynnika R</w:t>
      </w:r>
      <w:r>
        <w:rPr>
          <w:sz w:val="18"/>
          <w:szCs w:val="18"/>
          <w:vertAlign w:val="subscript"/>
        </w:rPr>
        <w:t>L</w:t>
      </w:r>
      <w:r>
        <w:rPr>
          <w:sz w:val="18"/>
          <w:szCs w:val="18"/>
        </w:rPr>
        <w:t xml:space="preserve"> powinna wynosić dla oznakowania nowego (w stanie suchym) w ciągu 14 - 30 dni po wykonaniu, barwy: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białej, na autostradach, drogach ekspresowych oraz na drogach o prędkości </w:t>
      </w:r>
      <w:r>
        <w:rPr>
          <w:sz w:val="18"/>
          <w:szCs w:val="18"/>
        </w:rPr>
        <w:sym w:font="Symbol" w:char="00B3"/>
      </w:r>
      <w:r>
        <w:rPr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sz w:val="18"/>
            <w:szCs w:val="18"/>
          </w:rPr>
          <w:t>100 km/h</w:t>
        </w:r>
      </w:smartTag>
      <w:r>
        <w:rPr>
          <w:sz w:val="18"/>
          <w:szCs w:val="18"/>
        </w:rPr>
        <w:t xml:space="preserve"> lub o natężeniu ruchu &gt; 2 500 pojazdów rzeczywistych na dobę na pas, co najmniej 250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, klasa R4/5,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białej, na pozostałych drogach, co najmniej 200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, klasa R4,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żółtej tymczasowej, co najmniej 150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, klasa R3,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Wartość współczynnika R</w:t>
      </w:r>
      <w:r>
        <w:rPr>
          <w:sz w:val="18"/>
          <w:szCs w:val="18"/>
          <w:vertAlign w:val="subscript"/>
        </w:rPr>
        <w:t>L</w:t>
      </w:r>
      <w:r>
        <w:rPr>
          <w:sz w:val="18"/>
          <w:szCs w:val="18"/>
        </w:rPr>
        <w:t xml:space="preserve"> powinna wynosić dla oznakowania eksploatowanego w ciągu od 2 do 6 miesięcy po wykonaniu,  barwy: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białej, na autostradach, drogach ekspresowych oraz na drogach o prędkości </w:t>
      </w:r>
      <w:r>
        <w:rPr>
          <w:sz w:val="18"/>
          <w:szCs w:val="18"/>
        </w:rPr>
        <w:sym w:font="Symbol" w:char="00B3"/>
      </w:r>
      <w:r>
        <w:rPr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sz w:val="18"/>
            <w:szCs w:val="18"/>
          </w:rPr>
          <w:t>100 km/h</w:t>
        </w:r>
      </w:smartTag>
      <w:r>
        <w:rPr>
          <w:sz w:val="18"/>
          <w:szCs w:val="18"/>
        </w:rPr>
        <w:t xml:space="preserve"> lub o natężeniu ruchu &gt; 2 500 pojazdów rzeczywistych na dobę na pas, co najmniej 200 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, klasa R4,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białej, na pozostałych drogach, co najmniej 150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, klasa R3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żółtej tymczasowej, co najmniej 100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, klasa R2.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Wartość współczynnika R</w:t>
      </w:r>
      <w:r>
        <w:rPr>
          <w:sz w:val="18"/>
          <w:szCs w:val="18"/>
          <w:vertAlign w:val="subscript"/>
        </w:rPr>
        <w:t>L</w:t>
      </w:r>
      <w:r>
        <w:rPr>
          <w:sz w:val="18"/>
          <w:szCs w:val="18"/>
        </w:rPr>
        <w:t xml:space="preserve"> powinna wynosić dla oznakowania eksploatowanego od 7 miesiąca po wykonaniu, barwy: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białej, na autostradach, drogach ekspresowych oraz na drogach o prędkości </w:t>
      </w:r>
      <w:r>
        <w:rPr>
          <w:sz w:val="18"/>
          <w:szCs w:val="18"/>
        </w:rPr>
        <w:sym w:font="Symbol" w:char="00B3"/>
      </w:r>
      <w:r>
        <w:rPr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sz w:val="18"/>
            <w:szCs w:val="18"/>
          </w:rPr>
          <w:t>100 km/h</w:t>
        </w:r>
      </w:smartTag>
      <w:r>
        <w:rPr>
          <w:sz w:val="18"/>
          <w:szCs w:val="18"/>
        </w:rPr>
        <w:t xml:space="preserve"> lub o natężeniu ruchu &gt; 2 500 pojazdów rzeczywistych na dobę na pas, co najmniej 150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, klasa R3,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białej, na pozostałych drogach, co najmniej 100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, klasa R2,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żółtej tymczasowej, co najmniej 100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>, klasa R2.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 szczególnie uzasadnionych przypadkach możliwe jest ustalenie w SST wyższych klas wymagań wg PN-EN 1436:2000/A1:2005.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Wartość współczynnika R</w:t>
      </w:r>
      <w:r>
        <w:rPr>
          <w:sz w:val="18"/>
          <w:szCs w:val="18"/>
          <w:vertAlign w:val="subscript"/>
        </w:rPr>
        <w:t>L</w:t>
      </w:r>
      <w:r>
        <w:rPr>
          <w:sz w:val="18"/>
          <w:szCs w:val="18"/>
        </w:rPr>
        <w:t xml:space="preserve"> powinna wynosić dla oznakowania profilowanego, nowego (w stanie wilgotnym) i eksploatowanego w okresie gwarancji wg PN-EN 1436:2000 zmierzona od 14 do 30 dni po wykonaniu, barwy: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białej, co najmniej 50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 xml:space="preserve">, klasa </w:t>
      </w:r>
      <w:r>
        <w:rPr>
          <w:spacing w:val="-3"/>
          <w:sz w:val="18"/>
          <w:szCs w:val="18"/>
        </w:rPr>
        <w:t>RW3</w:t>
      </w:r>
      <w:r>
        <w:rPr>
          <w:sz w:val="18"/>
          <w:szCs w:val="18"/>
        </w:rPr>
        <w:t>,</w:t>
      </w:r>
    </w:p>
    <w:p w:rsidR="00F74DFC" w:rsidRDefault="00F74DFC" w:rsidP="00F74DFC">
      <w:pPr>
        <w:jc w:val="both"/>
        <w:rPr>
          <w:spacing w:val="-3"/>
          <w:sz w:val="18"/>
          <w:szCs w:val="18"/>
        </w:rPr>
      </w:pPr>
      <w:r>
        <w:rPr>
          <w:sz w:val="18"/>
          <w:szCs w:val="18"/>
        </w:rPr>
        <w:t>- w okresie eksploatacji co najmniej 35 mcd m</w:t>
      </w:r>
      <w:r>
        <w:rPr>
          <w:sz w:val="18"/>
          <w:szCs w:val="18"/>
          <w:vertAlign w:val="superscript"/>
        </w:rPr>
        <w:t>-2</w:t>
      </w:r>
      <w:r>
        <w:rPr>
          <w:sz w:val="18"/>
          <w:szCs w:val="18"/>
        </w:rPr>
        <w:t xml:space="preserve"> lx</w:t>
      </w:r>
      <w:r>
        <w:rPr>
          <w:sz w:val="18"/>
          <w:szCs w:val="18"/>
          <w:vertAlign w:val="superscript"/>
        </w:rPr>
        <w:t>-1</w:t>
      </w:r>
      <w:r>
        <w:rPr>
          <w:sz w:val="18"/>
          <w:szCs w:val="18"/>
        </w:rPr>
        <w:t xml:space="preserve">, klasa </w:t>
      </w:r>
      <w:r>
        <w:rPr>
          <w:spacing w:val="-3"/>
          <w:sz w:val="18"/>
          <w:szCs w:val="18"/>
        </w:rPr>
        <w:t>RW2.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Powyższe wymaganie dotyczy jedynie oznakowań profilowanych, takich jak oznakowanie strukturalne wykonywane masami termoplastycznymi, masami chemoutwardzalnymi i taśmami w postaci np. poprzecznych wygarbień (baretek), drop-on-line, itp.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Wykonywanie pomiarów na oznakowaniu ciągłym z naniesionymi wygarbieniami może być wykonywane tylko metoda dynamiczną. Pomiar aparatami ręcznymi jest albo niemożliwy albo obciążony dużym błędem.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Wykonywanie pomiarów odblaskowości na pozostałych typach oznakowania strukturalnego, z uwagi na jego niecałkowite i niejednorodne pokrycie powierzchni oznakowania, jest obarczone większym błędem niż na oznakowaniach pełnych. Dlatego podczas odbioru czy kontroli, należy przyjąć jako dopuszczalne wartości współczynnika odblasku o 20 % niższe od przyjętych w SST.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6.3.1.3</w:t>
      </w:r>
      <w:r>
        <w:rPr>
          <w:sz w:val="18"/>
          <w:szCs w:val="18"/>
        </w:rPr>
        <w:t xml:space="preserve"> Szorstkość oznakowania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Miarą szorstkości oznakowania jest wartość wskaźnika szorstkości SRT (Skid Resistance Tester) mierzona wahadłem angielskim, wg PN-EN 1436:2000 lub POD-97 i POD-2006 (po wydaniu). Wartość SRT symuluje warunki, w których pojazd wyposażony w typowe opony hamuje z blokadą kół przy prędkości </w:t>
      </w:r>
      <w:smartTag w:uri="urn:schemas-microsoft-com:office:smarttags" w:element="metricconverter">
        <w:smartTagPr>
          <w:attr w:name="ProductID" w:val="50 km/h"/>
        </w:smartTagPr>
        <w:r>
          <w:rPr>
            <w:sz w:val="18"/>
            <w:szCs w:val="18"/>
          </w:rPr>
          <w:t>50 km/h</w:t>
        </w:r>
      </w:smartTag>
      <w:r>
        <w:rPr>
          <w:sz w:val="18"/>
          <w:szCs w:val="18"/>
        </w:rPr>
        <w:t xml:space="preserve"> na mokrej nawierzchni.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Wymaga się, aby wartość wskaźnika szorstkości SRT wynosiła na oznakowaniu: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w ciągu całego okresu użytkowania, co najmniej 45 jednostek SRT (klasa S1).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Dopuszcza się podwyższenie w SST wymagania szorstkości do 50 – 60 jednostek SRT (klasy S2 – S3), w uzasadnionych przypadkach. Uzyskanie większej szorstkości oznakowania, wiąże się z zastosowaniem kruszywa przeciwpoślizgowego samego lub w mieszaninie z kulkami szklanymi wg PN-EN 1423:2001. Należy przy tym wziąć pod uwagę jednoczesne obniżenie wartości współczynnika luminancji i współczynnika odblasku.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Szorstkość oznakowania, na którym nie zastosowano kruszywa przeciwpoślizgowego, zazwyczaj wzrasta w okresie eksploatacji oznakowania, dlatego nie należy wymagać wyższej jego wartości na starcie, a niższej w okresie gwarancji.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Wykonywanie pomiarów wskaźnika szorstkości SRT dotyczy oznakowań jednolitych, płaskich, wykonanych farbami, masami termoplastycznymi, masami chemoutwardzalnymi i taśmami. Pomiar na oznakowaniu strukturalnym jest, jeśli możliwy, to nie miarodajny. W przypadku oznakowania z wygarbieniami i punktowymi elementami odblaskowymi pomiar nie jest możliwy.</w:t>
      </w:r>
    </w:p>
    <w:p w:rsidR="00F74DFC" w:rsidRDefault="00F74DFC" w:rsidP="00F74DFC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UWAGA: Wskaźnik szorstkości SRT w normach powierzchniowych został nazwany PTV (Polishing Test Value) za PN-EN 13 036-4:2004(U). Metoda pomiaru i sprzęt do jego wykonania są identyczne z przyjętymi w PN-EN 1436:2000  dla oznakowań poziomych.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6.3.1.4.</w:t>
      </w:r>
      <w:r>
        <w:rPr>
          <w:sz w:val="18"/>
          <w:szCs w:val="18"/>
        </w:rPr>
        <w:t xml:space="preserve"> Trwałość oznakowania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Trwałość oznakowania cienkowarstwowego oceniana jako stopień zużycia w 10-stopniowej skali LCPC określonej w POD-97  lub POD-2006 (po wydaniu)  powinna wynosić po 12-miesięcznym okresie eksploatacji oznakowania: co najmniej 6.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Taka metoda oceny znajduje szczególnie zastosowanie do oceny przydatności materiałów do poziomego oznakowania dróg.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 stosunku do materiałów grubowarstwowych i taśm ocena ta jest stosowana dopiero po 2, 3, 4, 5 i 6 latach, gdy w oznakowaniu pojawiają się przetarcia do nawierzchni. Do oceny materiałów strukturalnych, o nieciągłym pokryciu nawierzchni metody tej nie stosuje się.</w:t>
      </w:r>
    </w:p>
    <w:p w:rsidR="00F74DFC" w:rsidRDefault="00F74DFC" w:rsidP="00F74DFC">
      <w:pPr>
        <w:keepNext/>
        <w:jc w:val="both"/>
        <w:rPr>
          <w:sz w:val="18"/>
          <w:szCs w:val="18"/>
        </w:rPr>
      </w:pPr>
      <w:r>
        <w:rPr>
          <w:b/>
          <w:sz w:val="18"/>
          <w:szCs w:val="18"/>
        </w:rPr>
        <w:t>6.3.1.5.</w:t>
      </w:r>
      <w:r>
        <w:rPr>
          <w:sz w:val="18"/>
          <w:szCs w:val="18"/>
        </w:rPr>
        <w:t xml:space="preserve"> Czas schnięcia oznakowania (względnie czas do przejezdności oznakowania)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Za czas schnięcia oznakowania przyjmuje się czas upływający między wykonaniem oznakowania a jego oddaniem do ruchu.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Czas schnięcia oznakowania nie powinien przekraczać czasu gwarantowanego przez producenta, z tym że nie może przekraczać 2 godzin w przypadku wymalowań nocnych i 1 godziny w przypadku wymalowań dziennych. Metoda oznaczenia czasu schnięcia znajduje się w POD-97  lub POD-2006 (po wydaniu).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6.3.1.6.</w:t>
      </w:r>
      <w:r>
        <w:rPr>
          <w:sz w:val="18"/>
          <w:szCs w:val="18"/>
        </w:rPr>
        <w:t xml:space="preserve"> Grubość oznakowania</w:t>
      </w:r>
    </w:p>
    <w:p w:rsidR="00F74DFC" w:rsidRDefault="00F74DFC" w:rsidP="00F74DFC">
      <w:pPr>
        <w:pStyle w:val="Textbody"/>
        <w:spacing w:before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    Grubość oznakowania, tj. podwyższenie ponad górną powierzchnię nawierzchni, powinna wynosić dla: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a)     oznakowania cienkowarstwowego (grubość na mokro bez kulek szklanych), co najwyżej </w:t>
      </w:r>
      <w:smartTag w:uri="urn:schemas-microsoft-com:office:smarttags" w:element="metricconverter">
        <w:smartTagPr>
          <w:attr w:name="ProductID" w:val="800 mm"/>
        </w:smartTagPr>
        <w:r>
          <w:rPr>
            <w:rFonts w:ascii="Times New Roman" w:hAnsi="Times New Roman"/>
            <w:sz w:val="18"/>
            <w:szCs w:val="18"/>
          </w:rPr>
          <w:t>800 mm</w:t>
        </w:r>
      </w:smartTag>
      <w:r>
        <w:rPr>
          <w:rFonts w:ascii="Times New Roman" w:hAnsi="Times New Roman"/>
          <w:sz w:val="18"/>
          <w:szCs w:val="18"/>
        </w:rPr>
        <w:t>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b)     punktowych elementów odblaskowych umieszczanych na części jezdnej drogi, co najwyżej </w:t>
      </w:r>
      <w:smartTag w:uri="urn:schemas-microsoft-com:office:smarttags" w:element="metricconverter">
        <w:smartTagPr>
          <w:attr w:name="ProductID" w:val="15 mm"/>
        </w:smartTagPr>
        <w:r>
          <w:rPr>
            <w:rFonts w:ascii="Times New Roman" w:hAnsi="Times New Roman"/>
            <w:sz w:val="18"/>
            <w:szCs w:val="18"/>
          </w:rPr>
          <w:t>15 mm</w:t>
        </w:r>
      </w:smartTag>
      <w:r>
        <w:rPr>
          <w:rFonts w:ascii="Times New Roman" w:hAnsi="Times New Roman"/>
          <w:sz w:val="18"/>
          <w:szCs w:val="18"/>
        </w:rPr>
        <w:t xml:space="preserve">, a w uzasadnionych przypadkach 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ustalonych w dokumentacji projektowej, co najwyżej </w:t>
      </w:r>
      <w:smartTag w:uri="urn:schemas-microsoft-com:office:smarttags" w:element="metricconverter">
        <w:smartTagPr>
          <w:attr w:name="ProductID" w:val="25 mm"/>
        </w:smartTagPr>
        <w:r>
          <w:rPr>
            <w:rFonts w:ascii="Times New Roman" w:hAnsi="Times New Roman"/>
            <w:sz w:val="18"/>
            <w:szCs w:val="18"/>
          </w:rPr>
          <w:t>25 mm</w:t>
        </w:r>
      </w:smartTag>
      <w:r>
        <w:rPr>
          <w:rFonts w:ascii="Times New Roman" w:hAnsi="Times New Roman"/>
          <w:sz w:val="18"/>
          <w:szCs w:val="18"/>
        </w:rPr>
        <w:t>.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Wymagania te nie obowiązują, jeśli nawierzchnia pod znakowaniem jest wyfrezowana.</w:t>
      </w:r>
    </w:p>
    <w:p w:rsidR="00F74DFC" w:rsidRDefault="00F74DFC" w:rsidP="00F74DFC">
      <w:pPr>
        <w:jc w:val="both"/>
        <w:rPr>
          <w:rFonts w:ascii="Times New Roman" w:hAnsi="Times New Roman"/>
          <w:sz w:val="18"/>
          <w:szCs w:val="18"/>
        </w:rPr>
      </w:pPr>
      <w:r>
        <w:rPr>
          <w:sz w:val="18"/>
          <w:szCs w:val="18"/>
        </w:rPr>
        <w:t>Kontrola grubości oznakowania jest istotna w przypadku, gdy Wykonawca nie udziela gwarancji lub gdy nie są wykonywane pomiary kontrolne za pomocą aparatury lub poprzez ocenę wizualną.</w:t>
      </w:r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6.3.2. </w:t>
      </w:r>
      <w:r>
        <w:rPr>
          <w:rFonts w:ascii="Times New Roman" w:hAnsi="Times New Roman"/>
          <w:sz w:val="18"/>
          <w:szCs w:val="18"/>
        </w:rPr>
        <w:t>Badania wykonania znakowania poziomego z materiału cienkowarstwowego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Wykonawca wykonując znakowanie poziome z materiału cienkowarstwowego przeprowadza przed rozpoczęciem każdej pracy oraz w czasie jej wykonywania, co najmniej raz dziennie, lub zgodnie z ustaleniem SST, następujące badania: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a) przed rozpoczęciem pracy: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sprawdzenie oznakowania opakowań,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wizualną ocenę stanu  materiału, w zakresie jego jednorodności i widocznych wad,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pomiar wilgotności względnej powietrza,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pomiar temperatury powietrza i nawierzchni,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badanie lepkości farby (cienkowarstwowej), wg POD-97,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b) w czasie wykonywania pracy: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pomiar grubości warstwy oznakowania,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pomiar czasu schnięcia, wg POD-97,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wizualną ocenę równomierności rozłożenia kulek szklanych,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-      pomiar poziomych wymiarów oznakowania, na zgodność z dokumentacją projektową i „Instrukcją o znakach drogowych poziomych”,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wizualną ocenę równomierności skropienia (rozłożenia materiału) na całej szerokości linii,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oznaczenia czasu przejezdności, wg POD-97.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Protokół z przeprowadzonych badań wraz z jedną próbką na blasze (300 x 250 x </w:t>
      </w:r>
      <w:smartTag w:uri="urn:schemas-microsoft-com:office:smarttags" w:element="metricconverter">
        <w:smartTagPr>
          <w:attr w:name="ProductID" w:val="0,8 mm"/>
        </w:smartTagPr>
        <w:r>
          <w:rPr>
            <w:rFonts w:ascii="Times New Roman" w:hAnsi="Times New Roman"/>
            <w:sz w:val="18"/>
            <w:szCs w:val="18"/>
          </w:rPr>
          <w:t>0,8 mm</w:t>
        </w:r>
      </w:smartTag>
      <w:r>
        <w:rPr>
          <w:rFonts w:ascii="Times New Roman" w:hAnsi="Times New Roman"/>
          <w:sz w:val="18"/>
          <w:szCs w:val="18"/>
        </w:rPr>
        <w:t>) Wykonawca powinien przechować do czasu upływu okresu gwarancji.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 przypadku wątpliwości dotyczących wykonania oznakowania poziomego, Inżynier może zlecić wykonanie badań: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widzialności w dzień,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widzialności w nocy,</w:t>
      </w:r>
    </w:p>
    <w:p w:rsidR="00F74DFC" w:rsidRDefault="00F74DFC" w:rsidP="00F74DFC">
      <w:pPr>
        <w:pStyle w:val="Textbody"/>
        <w:spacing w:after="0"/>
        <w:ind w:left="283" w:hanging="2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      szorstkości,</w:t>
      </w:r>
    </w:p>
    <w:p w:rsidR="00F74DFC" w:rsidRDefault="00F74DFC" w:rsidP="00F74DFC">
      <w:pPr>
        <w:pStyle w:val="Textbody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odpowiadających wymaganiom podanym w punkcie 6.3.1 i wykonanych według metod określonych w „Warunkach technicznych POD-</w:t>
      </w:r>
      <w:smartTag w:uri="urn:schemas-microsoft-com:office:smarttags" w:element="metricconverter">
        <w:smartTagPr>
          <w:attr w:name="ProductID" w:val="97”"/>
        </w:smartTagPr>
        <w:r>
          <w:rPr>
            <w:rFonts w:ascii="Times New Roman" w:hAnsi="Times New Roman"/>
            <w:sz w:val="18"/>
            <w:szCs w:val="18"/>
          </w:rPr>
          <w:t>97”</w:t>
        </w:r>
      </w:smartTag>
      <w:r>
        <w:rPr>
          <w:rFonts w:ascii="Times New Roman" w:hAnsi="Times New Roman"/>
          <w:sz w:val="18"/>
          <w:szCs w:val="18"/>
        </w:rPr>
        <w:t>. Jeżeli wyniki tych badań wykażą wadliwość wykonanego oznakowania to koszt badań ponosi Wykonawca, w przypadku przeciwnym - Zamawiający.Badania powinien zlecać Zamawiający do niezależnego laboratorium badawczego, co gwarantuje większa wiarygodność wyników.</w:t>
      </w:r>
    </w:p>
    <w:p w:rsidR="00F74DFC" w:rsidRDefault="00F74DFC" w:rsidP="00F74DFC">
      <w:pPr>
        <w:jc w:val="both"/>
        <w:rPr>
          <w:rFonts w:ascii="Times New Roman" w:hAnsi="Times New Roman"/>
          <w:sz w:val="18"/>
          <w:szCs w:val="18"/>
        </w:rPr>
      </w:pPr>
      <w:r>
        <w:rPr>
          <w:sz w:val="18"/>
          <w:szCs w:val="18"/>
        </w:rPr>
        <w:t xml:space="preserve">W przypadku konieczności wykonywania pomiarów na otwartych do ruchu odcinkach dróg o dopuszczalnej prędkości </w:t>
      </w:r>
      <w:r>
        <w:rPr>
          <w:sz w:val="18"/>
          <w:szCs w:val="18"/>
        </w:rPr>
        <w:sym w:font="Symbol" w:char="00B3"/>
      </w:r>
      <w:r>
        <w:rPr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sz w:val="18"/>
            <w:szCs w:val="18"/>
          </w:rPr>
          <w:t>100 km/h</w:t>
        </w:r>
      </w:smartTag>
      <w:r>
        <w:rPr>
          <w:sz w:val="18"/>
          <w:szCs w:val="18"/>
        </w:rPr>
        <w:t xml:space="preserve"> należy ograniczyć je do linii krawędziowych zewnętrznych w przypadku wykonywania pomiarów aparatami ręcznymi, ze względu na bezpieczeństwo wykonujących pomiary.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Pomiary współczynnika odblasku na liniach segregacyjnych i krawędziowych wewnętrznych, na otwartych do ruchu odcinkach dróg o dopuszczalnej prędkości </w:t>
      </w:r>
      <w:r>
        <w:rPr>
          <w:sz w:val="18"/>
          <w:szCs w:val="18"/>
        </w:rPr>
        <w:sym w:font="Symbol" w:char="00B3"/>
      </w:r>
      <w:r>
        <w:rPr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sz w:val="18"/>
            <w:szCs w:val="18"/>
          </w:rPr>
          <w:t>100 km/h</w:t>
        </w:r>
      </w:smartTag>
      <w:r>
        <w:rPr>
          <w:sz w:val="18"/>
          <w:szCs w:val="18"/>
        </w:rPr>
        <w:t>, a także na liniach podłużnych oznakowań z wygarbieniami, należy wykonywać przy użyciu mobilnego reflektometru zainstalowanego na samochodzie i wykonującego pomiary w ruchu.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W przypadku wykonywania pomiarów współczynnika odblaskowości i współczynników luminancji aparatami ręcznymi częstotliwość pomiarów należy dostosować do długości badanego odcinka, zgodnie z tablicą 2. W każdym z mierzonych punktów należy wykonać po 5 odczytów współczynnika odblasku i po 3 odczyty współczynników luminancji w odległości jeden od drugiego minimum </w:t>
      </w:r>
      <w:smartTag w:uri="urn:schemas-microsoft-com:office:smarttags" w:element="metricconverter">
        <w:smartTagPr>
          <w:attr w:name="ProductID" w:val="1 m"/>
        </w:smartTagPr>
        <w:r>
          <w:rPr>
            <w:sz w:val="18"/>
            <w:szCs w:val="18"/>
          </w:rPr>
          <w:t>1 m</w:t>
        </w:r>
      </w:smartTag>
      <w:r>
        <w:rPr>
          <w:sz w:val="18"/>
          <w:szCs w:val="18"/>
        </w:rPr>
        <w:t>.</w:t>
      </w:r>
    </w:p>
    <w:p w:rsidR="00F74DFC" w:rsidRDefault="00F74DFC" w:rsidP="00F74DFC">
      <w:pPr>
        <w:pStyle w:val="Tekstpodstawowywcity21"/>
        <w:ind w:left="0" w:firstLine="0"/>
        <w:jc w:val="both"/>
        <w:rPr>
          <w:rFonts w:ascii="Times New Roman" w:hAnsi="Times New Roman"/>
          <w:b w:val="0"/>
          <w:sz w:val="18"/>
          <w:szCs w:val="18"/>
        </w:rPr>
      </w:pPr>
    </w:p>
    <w:p w:rsidR="00F74DFC" w:rsidRDefault="00F74DFC" w:rsidP="00F74DFC">
      <w:pPr>
        <w:pStyle w:val="Tekstpodstawowywcity21"/>
        <w:jc w:val="both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>Tablica 2. Częstotliwość pomiarów współczynników odblaskowości i luminancji aparatami ręcznymi</w:t>
      </w:r>
    </w:p>
    <w:p w:rsidR="00F74DFC" w:rsidRDefault="00F74DFC" w:rsidP="00F74DFC">
      <w:pPr>
        <w:pStyle w:val="Tekstpodstawowywcity21"/>
        <w:jc w:val="both"/>
        <w:rPr>
          <w:rFonts w:ascii="Times New Roman" w:hAnsi="Times New Roman"/>
          <w:b w:val="0"/>
          <w:sz w:val="18"/>
          <w:szCs w:val="18"/>
        </w:rPr>
      </w:pPr>
    </w:p>
    <w:tbl>
      <w:tblPr>
        <w:tblW w:w="0" w:type="auto"/>
        <w:jc w:val="center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1995"/>
        <w:gridCol w:w="2126"/>
        <w:gridCol w:w="1579"/>
      </w:tblGrid>
      <w:tr w:rsidR="00F74DFC" w:rsidTr="00F74DF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Długość odcinka, km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Częstotliwość pomiarów, co najmniej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Minimalna ilość pomiarów</w:t>
            </w:r>
          </w:p>
        </w:tc>
      </w:tr>
      <w:tr w:rsidR="00F74DFC" w:rsidTr="00F74DF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 0 do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 0,1 do </w:t>
            </w:r>
            <w:smartTag w:uri="urn:schemas-microsoft-com:office:smarttags" w:element="metricconverter">
              <w:smartTagPr>
                <w:attr w:name="ProductID" w:val="0,5 km"/>
              </w:smartTagPr>
              <w:r>
                <w:rPr>
                  <w:sz w:val="18"/>
                  <w:szCs w:val="18"/>
                </w:rPr>
                <w:t>0,5 km</w:t>
              </w:r>
            </w:smartTag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3-6</w:t>
            </w:r>
          </w:p>
        </w:tc>
      </w:tr>
      <w:tr w:rsidR="00F74DFC" w:rsidTr="00F74DF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 3 do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rPr>
                  <w:sz w:val="18"/>
                  <w:szCs w:val="18"/>
                </w:rPr>
                <w:t>1 km</w:t>
              </w:r>
            </w:smartTag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F74DFC" w:rsidTr="00F74DF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 10 do 20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 km"/>
              </w:smartTagPr>
              <w:r>
                <w:rPr>
                  <w:sz w:val="18"/>
                  <w:szCs w:val="18"/>
                </w:rPr>
                <w:t>2 km</w:t>
              </w:r>
            </w:smartTag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F74DFC" w:rsidTr="00F74DF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 20 do 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3 km"/>
              </w:smartTagPr>
              <w:r>
                <w:rPr>
                  <w:sz w:val="18"/>
                  <w:szCs w:val="18"/>
                </w:rPr>
                <w:t>3 km</w:t>
              </w:r>
            </w:smartTag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F74DFC" w:rsidTr="00F74DF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powyżej 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4 km"/>
              </w:smartTagPr>
              <w:r>
                <w:rPr>
                  <w:sz w:val="18"/>
                  <w:szCs w:val="18"/>
                </w:rPr>
                <w:t>4 km</w:t>
              </w:r>
            </w:smartTag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20" w:after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11</w:t>
            </w:r>
          </w:p>
        </w:tc>
      </w:tr>
    </w:tbl>
    <w:p w:rsidR="00F74DFC" w:rsidRDefault="00F74DFC" w:rsidP="00F74DFC">
      <w:pPr>
        <w:jc w:val="both"/>
        <w:rPr>
          <w:rFonts w:ascii="Times New Roman" w:hAnsi="Times New Roman"/>
          <w:sz w:val="18"/>
          <w:szCs w:val="18"/>
        </w:rPr>
      </w:pPr>
      <w:r>
        <w:rPr>
          <w:sz w:val="18"/>
          <w:szCs w:val="18"/>
        </w:rPr>
        <w:t>Wartość wskaźnika szorstkości zaleca się oznaczyć w 2 – 4 punktach oznakowania odcinka.</w:t>
      </w:r>
    </w:p>
    <w:p w:rsidR="00F74DFC" w:rsidRDefault="00F74DFC" w:rsidP="00F74DFC">
      <w:pPr>
        <w:ind w:left="709" w:hanging="709"/>
        <w:jc w:val="both"/>
        <w:rPr>
          <w:b/>
          <w:sz w:val="18"/>
          <w:szCs w:val="18"/>
        </w:rPr>
      </w:pPr>
    </w:p>
    <w:p w:rsidR="00F74DFC" w:rsidRDefault="00F74DFC" w:rsidP="00F74DFC">
      <w:pPr>
        <w:ind w:left="709" w:hanging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6.3.3. </w:t>
      </w:r>
      <w:r>
        <w:rPr>
          <w:sz w:val="18"/>
          <w:szCs w:val="18"/>
        </w:rPr>
        <w:t>Badania wykonania oznakowania poziomego z zastosowaniem punktowych elementów odblaskowych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Wykonawca wykonując oznakowanie z prefabrykowanych elementów odblaskowych przeprowadza, co najmniej raz dziennie lub zgodnie z ustaleniem SST, następujące badania: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sprawdzenie oznakowania opakowań,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sprawdzenie rodzaju stosowanego kleju lub innych elementów mocujących, zgodnie z zaleceniami SST,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wizualną ocenę stanu elementów, w zakresie ich kompletności i braku wad,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temperatury powietrza i nawierzchni,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pomiaru czasu oddania do ruchu,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wizualną ocenę liniowości i kierunkowości przyklejenia elementów,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równomierności przyklejenia elementów na całej długości linii,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- zgodności wykonania oznakowania z dokumentacja projektową i załącznikiem nr 2 do rozporządzenia Ministra Infrastruktury z 3 lipca 2003 r. 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Protokół z przeprowadzonych badań wraz z próbkami przyklejonych elementów, w liczbie określonej w SST, Wykonawca przechowuje do czasu upływu okresu gwarancji.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W przypadku wątpliwości dotyczących wykonania oznakowania poziomego Inżynier może zlecić wykonanie badań widzialności w nocy, na próbkach zdjętych z nawierzchni i dostarczonych do laboratorium, na zgodność z wymaganiami podanymi w SST lub aprobacie technicznej, wykonanych według metod określonych w PN-EN 1463-1 lub w Warunkach technicznych POD-97 lub POD-2006 (po wydaniu). Jeśli wyniki tych badań wykażą wadliwość wykonanego oznakowania to koszt badań ponosi Wykonawca, w przypadku przeciwnym - Zamawiający.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6.3.4. </w:t>
      </w:r>
      <w:r>
        <w:rPr>
          <w:sz w:val="18"/>
          <w:szCs w:val="18"/>
        </w:rPr>
        <w:t>Zbiorcze zestawienie wymagań dla materiałów i oznakowań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W tablicy 3 podano zbiorcze zestawienie dla materiałów. W tablicy 4 podano zbiorcze zestawienie dla oznakowań na autostradach, drogach ekspresowych oraz na drogach o prędkości ³ </w:t>
      </w:r>
      <w:smartTag w:uri="urn:schemas-microsoft-com:office:smarttags" w:element="metricconverter">
        <w:smartTagPr>
          <w:attr w:name="ProductID" w:val="100 km/h"/>
        </w:smartTagPr>
        <w:r>
          <w:rPr>
            <w:sz w:val="18"/>
            <w:szCs w:val="18"/>
          </w:rPr>
          <w:t>100 km/h</w:t>
        </w:r>
      </w:smartTag>
      <w:r>
        <w:rPr>
          <w:sz w:val="18"/>
          <w:szCs w:val="18"/>
        </w:rPr>
        <w:t xml:space="preserve"> lub o natężeniu ruchu &gt; 2 500 pojazdów rzeczywistych na dobę na pas. W tablicy 5 podano zbiorcze zestawienie dla oznakowań na pozostałych drogach.</w:t>
      </w:r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Tablica 3. Zbiorcze zestawienie wymagań dla materiałów</w:t>
      </w:r>
    </w:p>
    <w:p w:rsidR="00F74DFC" w:rsidRDefault="00F74DFC" w:rsidP="00F74DFC">
      <w:pPr>
        <w:jc w:val="both"/>
        <w:rPr>
          <w:sz w:val="18"/>
          <w:szCs w:val="18"/>
        </w:rPr>
      </w:pPr>
    </w:p>
    <w:tbl>
      <w:tblPr>
        <w:tblW w:w="0" w:type="auto"/>
        <w:jc w:val="center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3685"/>
        <w:gridCol w:w="1134"/>
        <w:gridCol w:w="2216"/>
      </w:tblGrid>
      <w:tr w:rsidR="00F74DFC" w:rsidTr="00F74DFC">
        <w:trPr>
          <w:tblHeader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Właściwość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Jednostka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Wymagania</w:t>
            </w:r>
          </w:p>
        </w:tc>
      </w:tr>
      <w:tr w:rsidR="00F74DFC" w:rsidTr="00F74DFC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360"/>
              </w:tabs>
              <w:suppressAutoHyphens/>
              <w:snapToGri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Zawartość składników lotnych w materiałach do znakowania</w:t>
            </w:r>
          </w:p>
          <w:p w:rsidR="00F74DFC" w:rsidRDefault="00F74DFC" w:rsidP="00F74DFC">
            <w:pPr>
              <w:numPr>
                <w:ilvl w:val="0"/>
                <w:numId w:val="2"/>
              </w:numPr>
              <w:tabs>
                <w:tab w:val="left" w:pos="283"/>
              </w:tabs>
              <w:suppressAutoHyphens/>
              <w:spacing w:after="0" w:line="240" w:lineRule="auto"/>
              <w:ind w:left="28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rozpuszczalników organicznych</w:t>
            </w:r>
          </w:p>
          <w:p w:rsidR="00F74DFC" w:rsidRDefault="00F74DFC" w:rsidP="00F74DFC">
            <w:pPr>
              <w:numPr>
                <w:ilvl w:val="0"/>
                <w:numId w:val="2"/>
              </w:numPr>
              <w:tabs>
                <w:tab w:val="left" w:pos="283"/>
              </w:tabs>
              <w:suppressAutoHyphens/>
              <w:spacing w:after="0" w:line="240" w:lineRule="auto"/>
              <w:ind w:left="28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rozpuszczalników aromatycznych</w:t>
            </w:r>
          </w:p>
          <w:p w:rsidR="00F74DFC" w:rsidRDefault="00F74DFC" w:rsidP="00F74DFC">
            <w:pPr>
              <w:numPr>
                <w:ilvl w:val="0"/>
                <w:numId w:val="2"/>
              </w:numPr>
              <w:tabs>
                <w:tab w:val="left" w:pos="283"/>
              </w:tabs>
              <w:suppressAutoHyphens/>
              <w:spacing w:after="0" w:line="240" w:lineRule="auto"/>
              <w:ind w:left="28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benzenu i rozpuszczalników chlorowanych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(m/m)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(m/m)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(m/m)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A3"/>
            </w:r>
            <w:r>
              <w:rPr>
                <w:sz w:val="18"/>
                <w:szCs w:val="18"/>
              </w:rPr>
              <w:t xml:space="preserve"> 25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A3"/>
            </w:r>
            <w:r>
              <w:rPr>
                <w:sz w:val="18"/>
                <w:szCs w:val="18"/>
              </w:rPr>
              <w:t xml:space="preserve"> 8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4DFC" w:rsidTr="00F74DFC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after="120"/>
              <w:ind w:left="288" w:right="2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Właściwości kulek szklanych </w:t>
            </w:r>
          </w:p>
          <w:p w:rsidR="00F74DFC" w:rsidRDefault="00F74DFC">
            <w:pPr>
              <w:pStyle w:val="Tekstprzypisudolnego"/>
              <w:numPr>
                <w:ilvl w:val="0"/>
                <w:numId w:val="4"/>
              </w:numPr>
              <w:tabs>
                <w:tab w:val="left" w:pos="283"/>
              </w:tabs>
              <w:suppressAutoHyphens/>
              <w:overflowPunct/>
              <w:autoSpaceDE/>
              <w:adjustRightInd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załamania światła</w:t>
            </w:r>
          </w:p>
          <w:p w:rsidR="00F74DFC" w:rsidRDefault="00F74DFC" w:rsidP="00F74DFC">
            <w:pPr>
              <w:numPr>
                <w:ilvl w:val="0"/>
                <w:numId w:val="4"/>
              </w:numPr>
              <w:tabs>
                <w:tab w:val="left" w:pos="283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zawartość kulek z defektami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1,5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74DFC" w:rsidTr="00F74DFC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pStyle w:val="Stopka"/>
              <w:tabs>
                <w:tab w:val="left" w:pos="708"/>
              </w:tabs>
              <w:snapToGrid w:val="0"/>
              <w:spacing w:after="120"/>
              <w:ind w:left="288" w:right="2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stałości właściwości materiałów do znakowania przy składowaniu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miesiące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6</w:t>
            </w:r>
          </w:p>
        </w:tc>
      </w:tr>
    </w:tbl>
    <w:p w:rsidR="00F74DFC" w:rsidRDefault="00F74DFC" w:rsidP="00F74DFC">
      <w:pPr>
        <w:tabs>
          <w:tab w:val="left" w:pos="851"/>
        </w:tabs>
        <w:ind w:left="851" w:hanging="851"/>
        <w:rPr>
          <w:sz w:val="18"/>
          <w:szCs w:val="18"/>
        </w:rPr>
      </w:pPr>
    </w:p>
    <w:p w:rsidR="00F74DFC" w:rsidRDefault="00F74DFC" w:rsidP="00F74DFC">
      <w:pPr>
        <w:tabs>
          <w:tab w:val="left" w:pos="851"/>
        </w:tabs>
        <w:rPr>
          <w:sz w:val="18"/>
          <w:szCs w:val="18"/>
        </w:rPr>
      </w:pPr>
      <w:r>
        <w:rPr>
          <w:sz w:val="18"/>
          <w:szCs w:val="18"/>
        </w:rPr>
        <w:t xml:space="preserve">Tablica 4. Zbiorcze zestawienie wymagań dla oznakowań na autostradach, drogach ekspresowych oraz na drogach o prędkości ³ </w:t>
      </w:r>
      <w:smartTag w:uri="urn:schemas-microsoft-com:office:smarttags" w:element="metricconverter">
        <w:smartTagPr>
          <w:attr w:name="ProductID" w:val="100 km/h"/>
        </w:smartTagPr>
        <w:r>
          <w:rPr>
            <w:sz w:val="18"/>
            <w:szCs w:val="18"/>
          </w:rPr>
          <w:t>100 km/h</w:t>
        </w:r>
      </w:smartTag>
      <w:r>
        <w:rPr>
          <w:sz w:val="18"/>
          <w:szCs w:val="18"/>
        </w:rPr>
        <w:t xml:space="preserve"> lub o natężeniu ruchu &gt; 2 500 pojazdów rzeczywistych na dobę na pas</w:t>
      </w:r>
    </w:p>
    <w:p w:rsidR="00F74DFC" w:rsidRDefault="00F74DFC" w:rsidP="00F74DFC">
      <w:pPr>
        <w:tabs>
          <w:tab w:val="left" w:pos="851"/>
        </w:tabs>
        <w:rPr>
          <w:sz w:val="18"/>
          <w:szCs w:val="18"/>
        </w:rPr>
      </w:pPr>
    </w:p>
    <w:tbl>
      <w:tblPr>
        <w:tblW w:w="0" w:type="auto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00"/>
        <w:gridCol w:w="3281"/>
        <w:gridCol w:w="1134"/>
        <w:gridCol w:w="1276"/>
        <w:gridCol w:w="949"/>
      </w:tblGrid>
      <w:tr w:rsidR="00F74DFC" w:rsidTr="00F74DFC">
        <w:trPr>
          <w:cantSplit/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Właściwość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Jednostka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Wymagania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Klasa</w:t>
            </w:r>
          </w:p>
        </w:tc>
      </w:tr>
      <w:tr w:rsidR="00F74DFC" w:rsidTr="00F74DFC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648"/>
              </w:tabs>
              <w:suppressAutoHyphens/>
              <w:snapToGrid w:val="0"/>
              <w:ind w:left="288" w:right="29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odblasku R</w:t>
            </w:r>
            <w:r>
              <w:rPr>
                <w:sz w:val="18"/>
                <w:szCs w:val="18"/>
                <w:vertAlign w:val="subscript"/>
              </w:rPr>
              <w:t>L</w:t>
            </w:r>
            <w:r>
              <w:rPr>
                <w:sz w:val="18"/>
                <w:szCs w:val="18"/>
              </w:rPr>
              <w:t xml:space="preserve"> dla oznakowania nowego (w ciągu 14 - 30 dni po wykonaniu) w stanie suchym barwy:</w:t>
            </w:r>
          </w:p>
          <w:p w:rsidR="00F74DFC" w:rsidRDefault="00F74DFC" w:rsidP="00F74DFC">
            <w:pPr>
              <w:numPr>
                <w:ilvl w:val="1"/>
                <w:numId w:val="6"/>
              </w:numPr>
              <w:tabs>
                <w:tab w:val="left" w:pos="72"/>
                <w:tab w:val="num" w:pos="1080"/>
              </w:tabs>
              <w:suppressAutoHyphens/>
              <w:spacing w:after="0" w:line="240" w:lineRule="auto"/>
              <w:ind w:left="108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</w:t>
            </w:r>
          </w:p>
          <w:p w:rsidR="00F74DFC" w:rsidRDefault="00F74DFC" w:rsidP="00F74DFC">
            <w:pPr>
              <w:numPr>
                <w:ilvl w:val="1"/>
                <w:numId w:val="6"/>
              </w:numPr>
              <w:tabs>
                <w:tab w:val="left" w:pos="72"/>
                <w:tab w:val="num" w:pos="1080"/>
              </w:tabs>
              <w:suppressAutoHyphens/>
              <w:spacing w:after="0" w:line="240" w:lineRule="auto"/>
              <w:ind w:left="108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żółtej tymczasowej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250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R4/5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R3</w:t>
            </w:r>
          </w:p>
        </w:tc>
      </w:tr>
      <w:tr w:rsidR="00F74DFC" w:rsidTr="00F74DFC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648"/>
              </w:tabs>
              <w:suppressAutoHyphens/>
              <w:snapToGrid w:val="0"/>
              <w:ind w:left="288" w:right="2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odblasku R</w:t>
            </w:r>
            <w:r>
              <w:rPr>
                <w:sz w:val="18"/>
                <w:szCs w:val="18"/>
                <w:vertAlign w:val="subscript"/>
              </w:rPr>
              <w:t>L</w:t>
            </w:r>
            <w:r>
              <w:rPr>
                <w:sz w:val="18"/>
                <w:szCs w:val="18"/>
              </w:rPr>
              <w:t xml:space="preserve"> dla oznakowania suchego w okresie od 1 do 6 miesięcy po wykonaniu, barwy: </w:t>
            </w:r>
          </w:p>
          <w:p w:rsidR="00F74DFC" w:rsidRDefault="00F74DFC" w:rsidP="00F74DFC">
            <w:pPr>
              <w:numPr>
                <w:ilvl w:val="0"/>
                <w:numId w:val="8"/>
              </w:numPr>
              <w:tabs>
                <w:tab w:val="left" w:pos="-725"/>
              </w:tabs>
              <w:suppressAutoHyphens/>
              <w:spacing w:after="0" w:line="240" w:lineRule="auto"/>
              <w:ind w:left="-7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</w:t>
            </w:r>
          </w:p>
          <w:p w:rsidR="00F74DFC" w:rsidRDefault="00F74DFC" w:rsidP="00F74DFC">
            <w:pPr>
              <w:numPr>
                <w:ilvl w:val="0"/>
                <w:numId w:val="8"/>
              </w:numPr>
              <w:tabs>
                <w:tab w:val="left" w:pos="-725"/>
              </w:tabs>
              <w:suppressAutoHyphens/>
              <w:spacing w:after="0" w:line="240" w:lineRule="auto"/>
              <w:ind w:left="-7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żółtej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200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R4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R2</w:t>
            </w:r>
          </w:p>
        </w:tc>
      </w:tr>
      <w:tr w:rsidR="00F74DFC" w:rsidTr="00F74DFC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648"/>
              </w:tabs>
              <w:suppressAutoHyphens/>
              <w:snapToGrid w:val="0"/>
              <w:ind w:left="288" w:right="2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odblasku R</w:t>
            </w:r>
            <w:r>
              <w:rPr>
                <w:sz w:val="18"/>
                <w:szCs w:val="18"/>
                <w:vertAlign w:val="subscript"/>
              </w:rPr>
              <w:t>L</w:t>
            </w:r>
            <w:r>
              <w:rPr>
                <w:sz w:val="18"/>
                <w:szCs w:val="18"/>
              </w:rPr>
              <w:t xml:space="preserve"> dla oznakowania suchego od 7 miesiąca po wykonaniu barwy białej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R3</w:t>
            </w:r>
          </w:p>
        </w:tc>
      </w:tr>
      <w:tr w:rsidR="00F74DFC" w:rsidTr="00F74DFC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648"/>
              </w:tabs>
              <w:suppressAutoHyphens/>
              <w:snapToGrid w:val="0"/>
              <w:ind w:left="288" w:right="2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odblasku R</w:t>
            </w:r>
            <w:r>
              <w:rPr>
                <w:sz w:val="18"/>
                <w:szCs w:val="18"/>
                <w:vertAlign w:val="subscript"/>
              </w:rPr>
              <w:t>L</w:t>
            </w:r>
            <w:r>
              <w:rPr>
                <w:sz w:val="18"/>
                <w:szCs w:val="18"/>
              </w:rPr>
              <w:t xml:space="preserve"> dla grubowarstwowego strukturalnego oznakowania wilgotnego od 14 do 30 dnia po wykonaniu, barwy białej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50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RW3</w:t>
            </w:r>
          </w:p>
        </w:tc>
      </w:tr>
      <w:tr w:rsidR="00F74DFC" w:rsidTr="00F74DFC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648"/>
              </w:tabs>
              <w:suppressAutoHyphens/>
              <w:snapToGrid w:val="0"/>
              <w:ind w:left="288" w:right="2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odblasku R</w:t>
            </w:r>
            <w:r>
              <w:rPr>
                <w:sz w:val="18"/>
                <w:szCs w:val="18"/>
                <w:vertAlign w:val="subscript"/>
              </w:rPr>
              <w:t>L</w:t>
            </w:r>
            <w:r>
              <w:rPr>
                <w:sz w:val="18"/>
                <w:szCs w:val="18"/>
              </w:rPr>
              <w:t xml:space="preserve"> dla grubowarstwowego strukturalnego oznakowania wilgotnego po 30 dniu od wykonania, barwy białej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35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RW2</w:t>
            </w:r>
          </w:p>
        </w:tc>
      </w:tr>
      <w:tr w:rsidR="00F74DFC" w:rsidTr="00F74DFC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648"/>
              </w:tabs>
              <w:suppressAutoHyphens/>
              <w:snapToGrid w:val="0"/>
              <w:ind w:left="288" w:right="2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luminancji </w:t>
            </w:r>
            <w:r>
              <w:rPr>
                <w:sz w:val="18"/>
                <w:szCs w:val="18"/>
              </w:rPr>
              <w:sym w:font="Symbol" w:char="0062"/>
            </w:r>
            <w:r>
              <w:rPr>
                <w:sz w:val="18"/>
                <w:szCs w:val="18"/>
              </w:rPr>
              <w:t xml:space="preserve"> dla oznakowania nowego (od 14 do 30 dnia po wykonaniu) barwy:</w:t>
            </w:r>
          </w:p>
          <w:p w:rsidR="00F74DFC" w:rsidRDefault="00F74DFC" w:rsidP="00F74DFC">
            <w:pPr>
              <w:numPr>
                <w:ilvl w:val="0"/>
                <w:numId w:val="10"/>
              </w:numPr>
              <w:tabs>
                <w:tab w:val="left" w:pos="283"/>
              </w:tabs>
              <w:suppressAutoHyphens/>
              <w:spacing w:after="0" w:line="240" w:lineRule="auto"/>
              <w:ind w:left="567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asfaltowej</w:t>
            </w:r>
          </w:p>
          <w:p w:rsidR="00F74DFC" w:rsidRDefault="00F74DFC" w:rsidP="00F74DFC">
            <w:pPr>
              <w:numPr>
                <w:ilvl w:val="0"/>
                <w:numId w:val="10"/>
              </w:numPr>
              <w:tabs>
                <w:tab w:val="left" w:pos="283"/>
              </w:tabs>
              <w:suppressAutoHyphens/>
              <w:spacing w:after="0" w:line="240" w:lineRule="auto"/>
              <w:ind w:left="567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betonowej</w:t>
            </w:r>
          </w:p>
          <w:p w:rsidR="00F74DFC" w:rsidRDefault="00F74DFC" w:rsidP="00F74DFC">
            <w:pPr>
              <w:numPr>
                <w:ilvl w:val="0"/>
                <w:numId w:val="10"/>
              </w:numPr>
              <w:tabs>
                <w:tab w:val="left" w:pos="283"/>
              </w:tabs>
              <w:suppressAutoHyphens/>
              <w:spacing w:after="0" w:line="240" w:lineRule="auto"/>
              <w:ind w:left="567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żółtej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0,40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0,50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0,30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B4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</w:p>
        </w:tc>
      </w:tr>
      <w:tr w:rsidR="00F74DFC" w:rsidTr="00F74DFC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648"/>
              </w:tabs>
              <w:suppressAutoHyphens/>
              <w:snapToGrid w:val="0"/>
              <w:ind w:left="288" w:right="2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luminancji </w:t>
            </w:r>
            <w:r>
              <w:rPr>
                <w:sz w:val="18"/>
                <w:szCs w:val="18"/>
              </w:rPr>
              <w:sym w:font="Symbol" w:char="0062"/>
            </w:r>
            <w:r>
              <w:rPr>
                <w:sz w:val="18"/>
                <w:szCs w:val="18"/>
              </w:rPr>
              <w:t xml:space="preserve"> dla oznakowania eksploatowanego (po 30 dniu od wykonania) barwy:</w:t>
            </w:r>
          </w:p>
          <w:p w:rsidR="00F74DFC" w:rsidRDefault="00F74D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białej na nawierzchni asfaltowej</w:t>
            </w:r>
          </w:p>
          <w:p w:rsidR="00F74DFC" w:rsidRDefault="00F74D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białej na nawierzchni betonowej</w:t>
            </w:r>
          </w:p>
          <w:p w:rsidR="00F74DFC" w:rsidRDefault="00F74DFC">
            <w:pPr>
              <w:pStyle w:val="Stopka"/>
              <w:tabs>
                <w:tab w:val="left" w:pos="70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żółtej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0,30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0,40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0,20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</w:tr>
      <w:tr w:rsidR="00F74DFC" w:rsidTr="00F74DFC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648"/>
              </w:tabs>
              <w:suppressAutoHyphens/>
              <w:snapToGrid w:val="0"/>
              <w:ind w:left="288" w:right="29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luminancji w świetle rozproszonym Qd (alternatywnie do </w:t>
            </w:r>
            <w:r>
              <w:rPr>
                <w:sz w:val="18"/>
                <w:szCs w:val="18"/>
              </w:rPr>
              <w:sym w:font="Symbol" w:char="0062"/>
            </w:r>
            <w:r>
              <w:rPr>
                <w:sz w:val="18"/>
                <w:szCs w:val="18"/>
              </w:rPr>
              <w:t>) dla oznakowania nowego w ciągu od 14 do 30 dnia po wykonaniu, barwy:</w:t>
            </w:r>
          </w:p>
          <w:p w:rsidR="00F74DFC" w:rsidRDefault="00F74DFC" w:rsidP="00F74DFC">
            <w:pPr>
              <w:numPr>
                <w:ilvl w:val="0"/>
                <w:numId w:val="12"/>
              </w:numPr>
              <w:tabs>
                <w:tab w:val="left" w:pos="283"/>
              </w:tabs>
              <w:suppressAutoHyphens/>
              <w:spacing w:after="0" w:line="240" w:lineRule="auto"/>
              <w:ind w:left="28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asfaltowej</w:t>
            </w:r>
          </w:p>
          <w:p w:rsidR="00F74DFC" w:rsidRDefault="00F74DFC" w:rsidP="00F74DFC">
            <w:pPr>
              <w:numPr>
                <w:ilvl w:val="0"/>
                <w:numId w:val="12"/>
              </w:numPr>
              <w:tabs>
                <w:tab w:val="left" w:pos="283"/>
              </w:tabs>
              <w:suppressAutoHyphens/>
              <w:spacing w:after="0" w:line="240" w:lineRule="auto"/>
              <w:ind w:left="28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betonowej</w:t>
            </w:r>
          </w:p>
          <w:p w:rsidR="00F74DFC" w:rsidRDefault="00F74DFC" w:rsidP="00F74DFC">
            <w:pPr>
              <w:numPr>
                <w:ilvl w:val="0"/>
                <w:numId w:val="12"/>
              </w:numPr>
              <w:tabs>
                <w:tab w:val="left" w:pos="283"/>
              </w:tabs>
              <w:suppressAutoHyphens/>
              <w:spacing w:after="0" w:line="240" w:lineRule="auto"/>
              <w:ind w:left="28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żółtej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  <w:lang w:val="en-US"/>
              </w:rPr>
              <w:t xml:space="preserve"> 130</w:t>
            </w: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  <w:lang w:val="en-US"/>
              </w:rPr>
              <w:t xml:space="preserve"> 160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  <w:lang w:val="en-US"/>
              </w:rPr>
              <w:t xml:space="preserve"> 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Q3</w:t>
            </w: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Q4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Q2</w:t>
            </w:r>
          </w:p>
        </w:tc>
      </w:tr>
      <w:tr w:rsidR="00F74DFC" w:rsidTr="00F74DFC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648"/>
              </w:tabs>
              <w:suppressAutoHyphens/>
              <w:snapToGrid w:val="0"/>
              <w:ind w:left="288" w:right="29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luminancji w świetle rozproszonym Qd (alternatywnie do </w:t>
            </w:r>
            <w:r>
              <w:rPr>
                <w:sz w:val="18"/>
                <w:szCs w:val="18"/>
              </w:rPr>
              <w:sym w:font="Symbol" w:char="0062"/>
            </w:r>
            <w:r>
              <w:rPr>
                <w:sz w:val="18"/>
                <w:szCs w:val="18"/>
              </w:rPr>
              <w:t>) dla oznakowania eksploatowanego w ciągu całego okresu eksploatacji po 30 dniu od wykonania,  barwy:</w:t>
            </w:r>
          </w:p>
          <w:p w:rsidR="00F74DFC" w:rsidRDefault="00F74DFC" w:rsidP="00F74DFC">
            <w:pPr>
              <w:numPr>
                <w:ilvl w:val="0"/>
                <w:numId w:val="14"/>
              </w:numPr>
              <w:tabs>
                <w:tab w:val="left" w:pos="283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asfaltowej</w:t>
            </w:r>
          </w:p>
          <w:p w:rsidR="00F74DFC" w:rsidRDefault="00F74DFC" w:rsidP="00F74DFC">
            <w:pPr>
              <w:numPr>
                <w:ilvl w:val="0"/>
                <w:numId w:val="14"/>
              </w:numPr>
              <w:tabs>
                <w:tab w:val="left" w:pos="283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betonowej</w:t>
            </w:r>
          </w:p>
          <w:p w:rsidR="00F74DFC" w:rsidRDefault="00F74DFC" w:rsidP="00F74DFC">
            <w:pPr>
              <w:numPr>
                <w:ilvl w:val="0"/>
                <w:numId w:val="14"/>
              </w:numPr>
              <w:tabs>
                <w:tab w:val="left" w:pos="283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żółtej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  <w:lang w:val="en-US"/>
              </w:rPr>
              <w:t xml:space="preserve"> 100</w:t>
            </w: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  <w:lang w:val="en-US"/>
              </w:rPr>
              <w:t xml:space="preserve"> 130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  <w:lang w:val="en-US"/>
              </w:rPr>
              <w:t xml:space="preserve"> 80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Q2</w:t>
            </w: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Q3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Q1</w:t>
            </w:r>
          </w:p>
        </w:tc>
      </w:tr>
      <w:tr w:rsidR="00F74DFC" w:rsidTr="00F74DFC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288"/>
              </w:tabs>
              <w:suppressAutoHyphens/>
              <w:snapToGrid w:val="0"/>
              <w:ind w:left="288" w:right="65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Szorstkość oznakowania eksploatowanego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wskaźnik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45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</w:t>
            </w:r>
          </w:p>
        </w:tc>
      </w:tr>
      <w:tr w:rsidR="00F74DFC" w:rsidTr="00F74DFC">
        <w:trPr>
          <w:cantSplit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483"/>
              </w:tabs>
              <w:suppressAutoHyphens/>
              <w:snapToGrid w:val="0"/>
              <w:ind w:left="288" w:right="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Czas schnięcia materiału na nawierzchni</w:t>
            </w:r>
          </w:p>
          <w:p w:rsidR="00F74DFC" w:rsidRDefault="00F74DFC" w:rsidP="00F74DFC">
            <w:pPr>
              <w:numPr>
                <w:ilvl w:val="0"/>
                <w:numId w:val="16"/>
              </w:numPr>
              <w:tabs>
                <w:tab w:val="left" w:pos="-723"/>
              </w:tabs>
              <w:suppressAutoHyphens/>
              <w:spacing w:after="0" w:line="240" w:lineRule="auto"/>
              <w:ind w:left="-72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dzień</w:t>
            </w:r>
          </w:p>
          <w:p w:rsidR="00F74DFC" w:rsidRDefault="00F74DFC" w:rsidP="00F74DFC">
            <w:pPr>
              <w:numPr>
                <w:ilvl w:val="0"/>
                <w:numId w:val="16"/>
              </w:numPr>
              <w:tabs>
                <w:tab w:val="left" w:pos="-723"/>
              </w:tabs>
              <w:suppressAutoHyphens/>
              <w:spacing w:after="0" w:line="240" w:lineRule="auto"/>
              <w:ind w:left="-72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nocy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A3"/>
            </w:r>
            <w:r>
              <w:rPr>
                <w:sz w:val="18"/>
                <w:szCs w:val="18"/>
              </w:rPr>
              <w:t xml:space="preserve"> 1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A3"/>
            </w:r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tabs>
          <w:tab w:val="left" w:pos="851"/>
        </w:tabs>
        <w:ind w:left="851" w:hanging="851"/>
        <w:rPr>
          <w:sz w:val="18"/>
          <w:szCs w:val="18"/>
        </w:rPr>
      </w:pPr>
      <w:r>
        <w:rPr>
          <w:sz w:val="18"/>
          <w:szCs w:val="18"/>
        </w:rPr>
        <w:t>Tablica 5.</w:t>
      </w:r>
      <w:r>
        <w:rPr>
          <w:sz w:val="18"/>
          <w:szCs w:val="18"/>
        </w:rPr>
        <w:tab/>
        <w:t>Zbiorcze zestawienie wymagań dla oznakowań na pozostałych drogach nie wymienionych w tablicy 4</w:t>
      </w:r>
    </w:p>
    <w:p w:rsidR="00F74DFC" w:rsidRDefault="00F74DFC" w:rsidP="00F74DFC">
      <w:pPr>
        <w:tabs>
          <w:tab w:val="left" w:pos="851"/>
        </w:tabs>
        <w:ind w:left="851" w:hanging="851"/>
        <w:rPr>
          <w:sz w:val="18"/>
          <w:szCs w:val="18"/>
        </w:rPr>
      </w:pPr>
    </w:p>
    <w:tbl>
      <w:tblPr>
        <w:tblW w:w="0" w:type="auto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15"/>
        <w:gridCol w:w="3266"/>
        <w:gridCol w:w="1134"/>
        <w:gridCol w:w="1276"/>
        <w:gridCol w:w="949"/>
      </w:tblGrid>
      <w:tr w:rsidR="00F74DFC" w:rsidTr="00F74DFC">
        <w:trPr>
          <w:cantSplit/>
          <w:tblHeader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Właściwość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Jednostka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Wymagania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Klasa</w:t>
            </w:r>
          </w:p>
        </w:tc>
      </w:tr>
      <w:tr w:rsidR="00F74DFC" w:rsidTr="00F74DFC">
        <w:trPr>
          <w:cantSplit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700"/>
              </w:tabs>
              <w:suppressAutoHyphens/>
              <w:snapToGrid w:val="0"/>
              <w:ind w:left="3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odblasku R</w:t>
            </w:r>
            <w:r>
              <w:rPr>
                <w:sz w:val="18"/>
                <w:szCs w:val="18"/>
                <w:vertAlign w:val="subscript"/>
              </w:rPr>
              <w:t>L</w:t>
            </w:r>
            <w:r>
              <w:rPr>
                <w:sz w:val="18"/>
                <w:szCs w:val="18"/>
              </w:rPr>
              <w:t xml:space="preserve"> dla oznakowania nowego (w ciągu 14 - 30 dni po wykonaniu) w stanie suchym barwy:</w:t>
            </w:r>
          </w:p>
          <w:p w:rsidR="00F74DFC" w:rsidRDefault="00F74DFC" w:rsidP="00F74DFC">
            <w:pPr>
              <w:numPr>
                <w:ilvl w:val="1"/>
                <w:numId w:val="6"/>
              </w:numPr>
              <w:tabs>
                <w:tab w:val="left" w:pos="72"/>
                <w:tab w:val="num" w:pos="1080"/>
              </w:tabs>
              <w:suppressAutoHyphens/>
              <w:spacing w:after="0" w:line="240" w:lineRule="auto"/>
              <w:ind w:left="108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białej,</w:t>
            </w:r>
          </w:p>
          <w:p w:rsidR="00F74DFC" w:rsidRDefault="00F74DFC" w:rsidP="00F74DFC">
            <w:pPr>
              <w:numPr>
                <w:ilvl w:val="1"/>
                <w:numId w:val="6"/>
              </w:numPr>
              <w:tabs>
                <w:tab w:val="left" w:pos="72"/>
                <w:tab w:val="num" w:pos="1080"/>
              </w:tabs>
              <w:suppressAutoHyphens/>
              <w:spacing w:after="0" w:line="240" w:lineRule="auto"/>
              <w:ind w:left="108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żółtej tymczasowej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200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R4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R3</w:t>
            </w:r>
          </w:p>
        </w:tc>
      </w:tr>
      <w:tr w:rsidR="00F74DFC" w:rsidTr="00F74DFC">
        <w:trPr>
          <w:cantSplit/>
          <w:trHeight w:val="1211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700"/>
              </w:tabs>
              <w:suppressAutoHyphens/>
              <w:snapToGrid w:val="0"/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odblasku R</w:t>
            </w:r>
            <w:r>
              <w:rPr>
                <w:sz w:val="18"/>
                <w:szCs w:val="18"/>
                <w:vertAlign w:val="subscript"/>
              </w:rPr>
              <w:t>L</w:t>
            </w:r>
            <w:r>
              <w:rPr>
                <w:sz w:val="18"/>
                <w:szCs w:val="18"/>
              </w:rPr>
              <w:t xml:space="preserve"> dla oznakowania eksploatowanego od 2 do 6 miesięcy po wykonaniu, barwy:</w:t>
            </w:r>
          </w:p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białej,</w:t>
            </w:r>
          </w:p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żółtej</w:t>
            </w:r>
          </w:p>
          <w:p w:rsidR="00F74DFC" w:rsidRDefault="00F74DFC" w:rsidP="00F74DFC">
            <w:pPr>
              <w:numPr>
                <w:ilvl w:val="0"/>
                <w:numId w:val="8"/>
              </w:numPr>
              <w:tabs>
                <w:tab w:val="left" w:pos="-725"/>
              </w:tabs>
              <w:suppressAutoHyphens/>
              <w:spacing w:after="0" w:line="240" w:lineRule="auto"/>
              <w:ind w:left="-7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białej,</w:t>
            </w:r>
          </w:p>
          <w:p w:rsidR="00F74DFC" w:rsidRDefault="00F74DFC" w:rsidP="00F74DFC">
            <w:pPr>
              <w:numPr>
                <w:ilvl w:val="0"/>
                <w:numId w:val="8"/>
              </w:numPr>
              <w:tabs>
                <w:tab w:val="left" w:pos="-725"/>
              </w:tabs>
              <w:suppressAutoHyphens/>
              <w:spacing w:after="0" w:line="240" w:lineRule="auto"/>
              <w:ind w:left="-7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żółtej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150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R3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R2</w:t>
            </w:r>
          </w:p>
        </w:tc>
      </w:tr>
      <w:tr w:rsidR="00F74DFC" w:rsidTr="00F74DFC">
        <w:trPr>
          <w:cantSplit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tabs>
                <w:tab w:val="left" w:pos="700"/>
              </w:tabs>
              <w:snapToGrid w:val="0"/>
              <w:ind w:left="340"/>
              <w:rPr>
                <w:sz w:val="18"/>
                <w:szCs w:val="18"/>
              </w:rPr>
            </w:pPr>
          </w:p>
          <w:p w:rsidR="00F74DFC" w:rsidRDefault="00F74DFC">
            <w:pPr>
              <w:tabs>
                <w:tab w:val="left" w:pos="700"/>
              </w:tabs>
              <w:suppressAutoHyphens/>
              <w:snapToGrid w:val="0"/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odblasku R</w:t>
            </w:r>
            <w:r>
              <w:rPr>
                <w:sz w:val="18"/>
                <w:szCs w:val="18"/>
                <w:vertAlign w:val="subscript"/>
              </w:rPr>
              <w:t>L</w:t>
            </w:r>
            <w:r>
              <w:rPr>
                <w:sz w:val="18"/>
                <w:szCs w:val="18"/>
              </w:rPr>
              <w:t xml:space="preserve"> dla oznakowania suchego od 7 miesiąca po wykonaniu barwy białej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R2</w:t>
            </w:r>
          </w:p>
        </w:tc>
      </w:tr>
      <w:tr w:rsidR="00F74DFC" w:rsidTr="00F74DFC">
        <w:trPr>
          <w:cantSplit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700"/>
              </w:tabs>
              <w:suppressAutoHyphens/>
              <w:snapToGrid w:val="0"/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odblasku R</w:t>
            </w:r>
            <w:r>
              <w:rPr>
                <w:sz w:val="18"/>
                <w:szCs w:val="18"/>
                <w:vertAlign w:val="subscript"/>
              </w:rPr>
              <w:t>L</w:t>
            </w:r>
            <w:r>
              <w:rPr>
                <w:sz w:val="18"/>
                <w:szCs w:val="18"/>
              </w:rPr>
              <w:t xml:space="preserve"> dla grubowarstwowego strukturalnego oznakowania wilgotnego od 14 do 30 dnia po wykonaniu, barwy białej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50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RW3</w:t>
            </w:r>
          </w:p>
        </w:tc>
      </w:tr>
      <w:tr w:rsidR="00F74DFC" w:rsidTr="00F74DFC">
        <w:trPr>
          <w:cantSplit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700"/>
              </w:tabs>
              <w:suppressAutoHyphens/>
              <w:snapToGrid w:val="0"/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odblasku R</w:t>
            </w:r>
            <w:r>
              <w:rPr>
                <w:sz w:val="18"/>
                <w:szCs w:val="18"/>
                <w:vertAlign w:val="subscript"/>
              </w:rPr>
              <w:t>L</w:t>
            </w:r>
            <w:r>
              <w:rPr>
                <w:sz w:val="18"/>
                <w:szCs w:val="18"/>
              </w:rPr>
              <w:t xml:space="preserve"> dla grubowarstwowego strukturalnego oznakowania wilgotnego po 30 dniu od wykonania, barwy białej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35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DFC" w:rsidRDefault="00F74DFC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RW2</w:t>
            </w:r>
          </w:p>
        </w:tc>
      </w:tr>
      <w:tr w:rsidR="00F74DFC" w:rsidTr="00F74DFC">
        <w:trPr>
          <w:cantSplit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700"/>
              </w:tabs>
              <w:suppressAutoHyphens/>
              <w:snapToGrid w:val="0"/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Współczynnik luminancji b dla oznakowania nowego (od 14 do 30 dnia po wykonaniu) barwy:</w:t>
            </w:r>
          </w:p>
          <w:p w:rsidR="00F74DFC" w:rsidRDefault="00F74DFC" w:rsidP="00F74DFC">
            <w:pPr>
              <w:numPr>
                <w:ilvl w:val="0"/>
                <w:numId w:val="10"/>
              </w:numPr>
              <w:tabs>
                <w:tab w:val="left" w:pos="283"/>
              </w:tabs>
              <w:suppressAutoHyphens/>
              <w:spacing w:after="0" w:line="240" w:lineRule="auto"/>
              <w:ind w:left="567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asfaltowej,</w:t>
            </w:r>
          </w:p>
          <w:p w:rsidR="00F74DFC" w:rsidRDefault="00F74DFC" w:rsidP="00F74DFC">
            <w:pPr>
              <w:numPr>
                <w:ilvl w:val="0"/>
                <w:numId w:val="10"/>
              </w:numPr>
              <w:tabs>
                <w:tab w:val="left" w:pos="283"/>
              </w:tabs>
              <w:suppressAutoHyphens/>
              <w:spacing w:after="0" w:line="240" w:lineRule="auto"/>
              <w:ind w:left="567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betonowej,</w:t>
            </w:r>
          </w:p>
          <w:p w:rsidR="00F74DFC" w:rsidRDefault="00F74DFC" w:rsidP="00F74DFC">
            <w:pPr>
              <w:numPr>
                <w:ilvl w:val="0"/>
                <w:numId w:val="10"/>
              </w:numPr>
              <w:tabs>
                <w:tab w:val="left" w:pos="283"/>
              </w:tabs>
              <w:suppressAutoHyphens/>
              <w:spacing w:after="0" w:line="240" w:lineRule="auto"/>
              <w:ind w:left="567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żółtej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0,40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0,50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0,30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B4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</w:p>
        </w:tc>
      </w:tr>
      <w:tr w:rsidR="00F74DFC" w:rsidTr="00F74DFC">
        <w:trPr>
          <w:cantSplit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700"/>
              </w:tabs>
              <w:suppressAutoHyphens/>
              <w:snapToGrid w:val="0"/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luminancji </w:t>
            </w:r>
            <w:r>
              <w:rPr>
                <w:sz w:val="18"/>
                <w:szCs w:val="18"/>
              </w:rPr>
              <w:sym w:font="Symbol" w:char="0062"/>
            </w:r>
            <w:r>
              <w:rPr>
                <w:sz w:val="18"/>
                <w:szCs w:val="18"/>
              </w:rPr>
              <w:t xml:space="preserve"> dla oznakowania eksploatowanego (po 30 dniu od wykonania) barwy:</w:t>
            </w:r>
          </w:p>
          <w:p w:rsidR="00F74DFC" w:rsidRDefault="00F74D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białej</w:t>
            </w:r>
          </w:p>
          <w:p w:rsidR="00F74DFC" w:rsidRDefault="00F74DFC">
            <w:pPr>
              <w:pStyle w:val="Stopka"/>
              <w:tabs>
                <w:tab w:val="left" w:pos="70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żółtej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0,30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0,20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</w:tr>
      <w:tr w:rsidR="00F74DFC" w:rsidTr="00F74DFC">
        <w:trPr>
          <w:cantSplit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700"/>
              </w:tabs>
              <w:suppressAutoHyphens/>
              <w:snapToGrid w:val="0"/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luminancji w świetle rozproszonym Qd (alternatywnie do </w:t>
            </w:r>
            <w:r>
              <w:rPr>
                <w:sz w:val="18"/>
                <w:szCs w:val="18"/>
              </w:rPr>
              <w:sym w:font="Symbol" w:char="0062"/>
            </w:r>
            <w:r>
              <w:rPr>
                <w:sz w:val="18"/>
                <w:szCs w:val="18"/>
              </w:rPr>
              <w:t>) dla oznakowania nowego w ciągu od 14 do 30 dnia po wykonaniu, barwy:</w:t>
            </w:r>
          </w:p>
          <w:p w:rsidR="00F74DFC" w:rsidRDefault="00F74DFC" w:rsidP="00F74DFC">
            <w:pPr>
              <w:numPr>
                <w:ilvl w:val="0"/>
                <w:numId w:val="12"/>
              </w:numPr>
              <w:tabs>
                <w:tab w:val="left" w:pos="283"/>
              </w:tabs>
              <w:suppressAutoHyphens/>
              <w:spacing w:after="0" w:line="240" w:lineRule="auto"/>
              <w:ind w:left="28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asfaltowej</w:t>
            </w:r>
          </w:p>
          <w:p w:rsidR="00F74DFC" w:rsidRDefault="00F74DFC" w:rsidP="00F74DFC">
            <w:pPr>
              <w:numPr>
                <w:ilvl w:val="0"/>
                <w:numId w:val="12"/>
              </w:numPr>
              <w:tabs>
                <w:tab w:val="left" w:pos="283"/>
              </w:tabs>
              <w:suppressAutoHyphens/>
              <w:spacing w:after="0" w:line="240" w:lineRule="auto"/>
              <w:ind w:left="28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betonowej</w:t>
            </w:r>
          </w:p>
          <w:p w:rsidR="00F74DFC" w:rsidRDefault="00F74DFC" w:rsidP="00F74DFC">
            <w:pPr>
              <w:numPr>
                <w:ilvl w:val="0"/>
                <w:numId w:val="12"/>
              </w:numPr>
              <w:tabs>
                <w:tab w:val="left" w:pos="283"/>
              </w:tabs>
              <w:suppressAutoHyphens/>
              <w:spacing w:after="0" w:line="240" w:lineRule="auto"/>
              <w:ind w:left="28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żółtej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130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160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Q3</w:t>
            </w: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Q4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Q2</w:t>
            </w:r>
          </w:p>
        </w:tc>
      </w:tr>
      <w:tr w:rsidR="00F74DFC" w:rsidTr="00F74DFC">
        <w:trPr>
          <w:cantSplit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700"/>
              </w:tabs>
              <w:suppressAutoHyphens/>
              <w:snapToGrid w:val="0"/>
              <w:ind w:left="3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luminancji w świetle rozproszonym Qd (alternatywnie do </w:t>
            </w:r>
            <w:r>
              <w:rPr>
                <w:sz w:val="18"/>
                <w:szCs w:val="18"/>
              </w:rPr>
              <w:sym w:font="Symbol" w:char="0062"/>
            </w:r>
            <w:r>
              <w:rPr>
                <w:sz w:val="18"/>
                <w:szCs w:val="18"/>
              </w:rPr>
              <w:t>) dla oznakowania eksploatowanego w ciągu całego okresu eksploatacji po 30 dniu od wykonania,  barwy:</w:t>
            </w:r>
          </w:p>
          <w:p w:rsidR="00F74DFC" w:rsidRDefault="00F74DFC" w:rsidP="00F74DFC">
            <w:pPr>
              <w:numPr>
                <w:ilvl w:val="0"/>
                <w:numId w:val="14"/>
              </w:numPr>
              <w:tabs>
                <w:tab w:val="left" w:pos="283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asfaltowej</w:t>
            </w:r>
          </w:p>
          <w:p w:rsidR="00F74DFC" w:rsidRDefault="00F74DFC" w:rsidP="00F74DFC">
            <w:pPr>
              <w:numPr>
                <w:ilvl w:val="0"/>
                <w:numId w:val="14"/>
              </w:numPr>
              <w:tabs>
                <w:tab w:val="left" w:pos="283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białej na nawierzchni betonowej</w:t>
            </w:r>
          </w:p>
          <w:p w:rsidR="00F74DFC" w:rsidRDefault="00F74DFC" w:rsidP="00F74DFC">
            <w:pPr>
              <w:numPr>
                <w:ilvl w:val="0"/>
                <w:numId w:val="14"/>
              </w:numPr>
              <w:tabs>
                <w:tab w:val="left" w:pos="283"/>
              </w:tabs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żółtej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mcd m</w:t>
            </w:r>
            <w:r>
              <w:rPr>
                <w:sz w:val="18"/>
                <w:szCs w:val="18"/>
                <w:vertAlign w:val="superscript"/>
              </w:rPr>
              <w:t>-2</w:t>
            </w:r>
            <w:r>
              <w:rPr>
                <w:sz w:val="18"/>
                <w:szCs w:val="18"/>
              </w:rPr>
              <w:t xml:space="preserve"> lx</w:t>
            </w:r>
            <w:r>
              <w:rPr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100</w:t>
            </w: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130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80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Q2</w:t>
            </w:r>
          </w:p>
          <w:p w:rsidR="00F74DFC" w:rsidRDefault="00F74D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Q3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Q1</w:t>
            </w:r>
          </w:p>
        </w:tc>
      </w:tr>
      <w:tr w:rsidR="00F74DFC" w:rsidTr="00F74DFC">
        <w:trPr>
          <w:cantSplit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700"/>
              </w:tabs>
              <w:suppressAutoHyphens/>
              <w:snapToGrid w:val="0"/>
              <w:ind w:left="3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Szorstkość oznakowania eksploatowanego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wskaźnik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B3"/>
            </w:r>
            <w:r>
              <w:rPr>
                <w:sz w:val="18"/>
                <w:szCs w:val="18"/>
              </w:rPr>
              <w:t xml:space="preserve"> 45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</w:t>
            </w:r>
          </w:p>
        </w:tc>
      </w:tr>
      <w:tr w:rsidR="00F74DFC" w:rsidTr="00F74DFC">
        <w:trPr>
          <w:cantSplit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tabs>
                <w:tab w:val="left" w:pos="700"/>
              </w:tabs>
              <w:suppressAutoHyphens/>
              <w:snapToGrid w:val="0"/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DFC" w:rsidRDefault="00F74DF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Czas schnięcia materiału na nawierzchni</w:t>
            </w:r>
          </w:p>
          <w:p w:rsidR="00F74DFC" w:rsidRDefault="00F74DFC" w:rsidP="00F74DFC">
            <w:pPr>
              <w:numPr>
                <w:ilvl w:val="0"/>
                <w:numId w:val="16"/>
              </w:numPr>
              <w:tabs>
                <w:tab w:val="left" w:pos="-725"/>
              </w:tabs>
              <w:suppressAutoHyphens/>
              <w:spacing w:after="0" w:line="240" w:lineRule="auto"/>
              <w:ind w:left="-725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dzień</w:t>
            </w:r>
          </w:p>
          <w:p w:rsidR="00F74DFC" w:rsidRDefault="00F74DFC" w:rsidP="00F74DFC">
            <w:pPr>
              <w:numPr>
                <w:ilvl w:val="0"/>
                <w:numId w:val="16"/>
              </w:numPr>
              <w:tabs>
                <w:tab w:val="left" w:pos="-725"/>
              </w:tabs>
              <w:suppressAutoHyphens/>
              <w:spacing w:after="0" w:line="240" w:lineRule="auto"/>
              <w:ind w:left="-725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nocy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A3"/>
            </w:r>
            <w:r>
              <w:rPr>
                <w:sz w:val="18"/>
                <w:szCs w:val="18"/>
              </w:rPr>
              <w:t xml:space="preserve"> 1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00A3"/>
            </w:r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DFC" w:rsidRDefault="00F74DFC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74DFC" w:rsidRDefault="00F74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74DFC" w:rsidRDefault="00F74D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56" w:name="_Toc239243325"/>
      <w:bookmarkStart w:id="57" w:name="_Toc239243252"/>
      <w:r>
        <w:rPr>
          <w:sz w:val="18"/>
          <w:szCs w:val="18"/>
        </w:rPr>
        <w:t>6.4. Tolerancje wymiarów oznakowania</w:t>
      </w:r>
      <w:bookmarkEnd w:id="56"/>
      <w:bookmarkEnd w:id="57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6.4.1. </w:t>
      </w:r>
      <w:r>
        <w:rPr>
          <w:sz w:val="18"/>
          <w:szCs w:val="18"/>
        </w:rPr>
        <w:t>Tolerancje nowo wykonanego oznakowania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Tolerancje nowo wykonanego oznakowania poziomego, zgodnego z dokumentacją projektową i załącznikiem nr 2 do rozporządzenia Ministra Infrastruktury z 3.07.2003 r., powinny odpowiadać następującym warunkom: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- szerokość linii może różnić się od wymaganej o </w:t>
      </w:r>
      <w:r>
        <w:rPr>
          <w:sz w:val="18"/>
          <w:szCs w:val="18"/>
        </w:rPr>
        <w:sym w:font="Symbol" w:char="00B1"/>
      </w:r>
      <w:r>
        <w:rPr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rPr>
            <w:sz w:val="18"/>
            <w:szCs w:val="18"/>
          </w:rPr>
          <w:t>5 mm</w:t>
        </w:r>
      </w:smartTag>
      <w:r>
        <w:rPr>
          <w:sz w:val="18"/>
          <w:szCs w:val="18"/>
        </w:rPr>
        <w:t>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długość linii może być mniejsza od wymaganej co najwyżej o </w:t>
      </w:r>
      <w:smartTag w:uri="urn:schemas-microsoft-com:office:smarttags" w:element="metricconverter">
        <w:smartTagPr>
          <w:attr w:name="ProductID" w:val="50 mm"/>
        </w:smartTagPr>
        <w:r>
          <w:rPr>
            <w:sz w:val="18"/>
            <w:szCs w:val="18"/>
          </w:rPr>
          <w:t>50 mm</w:t>
        </w:r>
      </w:smartTag>
      <w:r>
        <w:rPr>
          <w:sz w:val="18"/>
          <w:szCs w:val="18"/>
        </w:rPr>
        <w:t xml:space="preserve"> lub większa co najwyżej o </w:t>
      </w:r>
      <w:smartTag w:uri="urn:schemas-microsoft-com:office:smarttags" w:element="metricconverter">
        <w:smartTagPr>
          <w:attr w:name="ProductID" w:val="150 mm"/>
        </w:smartTagPr>
        <w:r>
          <w:rPr>
            <w:sz w:val="18"/>
            <w:szCs w:val="18"/>
          </w:rPr>
          <w:t>150 mm</w:t>
        </w:r>
      </w:smartTag>
      <w:r>
        <w:rPr>
          <w:sz w:val="18"/>
          <w:szCs w:val="18"/>
        </w:rPr>
        <w:t>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dla linii przerywanych, długość cyklu składającego się z linii i przerwy nie może odbiegać od średniej liczonej z 10 kolejnych cykli o więcej niż </w:t>
      </w:r>
      <w:r>
        <w:rPr>
          <w:sz w:val="18"/>
          <w:szCs w:val="18"/>
        </w:rPr>
        <w:sym w:font="Symbol" w:char="00B1"/>
      </w:r>
      <w:r>
        <w:rPr>
          <w:sz w:val="18"/>
          <w:szCs w:val="18"/>
        </w:rPr>
        <w:t>50 mm długości wymaganej,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dla strzałek, liter i cyfr rozstaw punktów narożnikowych nie może mieć większej odchyłki od wymaganego wzoru niż </w:t>
      </w:r>
      <w:r>
        <w:rPr>
          <w:sz w:val="18"/>
          <w:szCs w:val="18"/>
        </w:rPr>
        <w:sym w:font="Symbol" w:char="00B1"/>
      </w:r>
      <w:r>
        <w:rPr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50 mm"/>
        </w:smartTagPr>
        <w:r>
          <w:rPr>
            <w:sz w:val="18"/>
            <w:szCs w:val="18"/>
          </w:rPr>
          <w:t>50 mm</w:t>
        </w:r>
      </w:smartTag>
      <w:r>
        <w:rPr>
          <w:sz w:val="18"/>
          <w:szCs w:val="18"/>
        </w:rPr>
        <w:t xml:space="preserve"> dla wymiaru długości i </w:t>
      </w:r>
      <w:r>
        <w:rPr>
          <w:sz w:val="18"/>
          <w:szCs w:val="18"/>
        </w:rPr>
        <w:sym w:font="Symbol" w:char="00B1"/>
      </w:r>
      <w:r>
        <w:rPr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0 mm"/>
        </w:smartTagPr>
        <w:r>
          <w:rPr>
            <w:sz w:val="18"/>
            <w:szCs w:val="18"/>
          </w:rPr>
          <w:t>20 mm</w:t>
        </w:r>
      </w:smartTag>
      <w:r>
        <w:rPr>
          <w:sz w:val="18"/>
          <w:szCs w:val="18"/>
        </w:rPr>
        <w:t xml:space="preserve"> dla wymiaru szerokości.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Przy wykonywaniu nowego oznakowania poziomego, spowodowanego zmianami organizacji ruchu, należy dokładnie usunąć zbędne stare oznakowanie.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6.4.2. </w:t>
      </w:r>
      <w:r>
        <w:rPr>
          <w:sz w:val="18"/>
          <w:szCs w:val="18"/>
        </w:rPr>
        <w:t>Tolerancje przy odnawianiu istniejącego oznakowania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Przy odnawianiu istniejącego oznakowania należy dążyć do  pokrycia pełnej powierzchni istniejących znaków, przy zachowaniu dopuszczalnych tolerancji podanych w punkcie 6.4.1.</w:t>
      </w:r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pStyle w:val="Nagwek1"/>
        <w:keepLines/>
        <w:tabs>
          <w:tab w:val="left" w:pos="0"/>
        </w:tabs>
        <w:rPr>
          <w:sz w:val="18"/>
          <w:szCs w:val="18"/>
        </w:rPr>
      </w:pPr>
      <w:bookmarkStart w:id="58" w:name="_Toc239243326"/>
      <w:r>
        <w:rPr>
          <w:sz w:val="18"/>
          <w:szCs w:val="18"/>
        </w:rPr>
        <w:t xml:space="preserve">7. </w:t>
      </w:r>
      <w:bookmarkEnd w:id="58"/>
      <w:r>
        <w:rPr>
          <w:sz w:val="18"/>
          <w:szCs w:val="18"/>
        </w:rPr>
        <w:t>OBMIAR ROBÓT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59" w:name="_Toc239243327"/>
      <w:bookmarkStart w:id="60" w:name="_Toc239243254"/>
      <w:r>
        <w:rPr>
          <w:sz w:val="18"/>
          <w:szCs w:val="18"/>
        </w:rPr>
        <w:t>7.1. Ogólne zasady obmiaru robót</w:t>
      </w:r>
      <w:bookmarkEnd w:id="59"/>
      <w:bookmarkEnd w:id="60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Ogólne zasady obmiaru robót podano w SST D 00.00.00 „Wymagania ogólne” pkt. 7.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61" w:name="_Toc239243328"/>
      <w:bookmarkStart w:id="62" w:name="_Toc239243255"/>
      <w:r>
        <w:rPr>
          <w:sz w:val="18"/>
          <w:szCs w:val="18"/>
        </w:rPr>
        <w:t>7.2. Jednostka obmiarowa</w:t>
      </w:r>
      <w:bookmarkEnd w:id="61"/>
      <w:bookmarkEnd w:id="62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Jednostką obmiarową oznakowania poziomego jest m</w:t>
      </w:r>
      <w:r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(metr kwadratowy) powierzchni naniesionych znaków.</w:t>
      </w:r>
    </w:p>
    <w:p w:rsidR="00F74DFC" w:rsidRDefault="00F74DFC" w:rsidP="00F74DFC">
      <w:pPr>
        <w:jc w:val="both"/>
        <w:rPr>
          <w:sz w:val="18"/>
          <w:szCs w:val="18"/>
        </w:rPr>
      </w:pPr>
    </w:p>
    <w:p w:rsidR="00F74DFC" w:rsidRDefault="00F74DFC" w:rsidP="00F74DFC">
      <w:pPr>
        <w:pStyle w:val="Nagwek1"/>
        <w:keepLines/>
        <w:tabs>
          <w:tab w:val="left" w:pos="0"/>
        </w:tabs>
        <w:rPr>
          <w:sz w:val="18"/>
          <w:szCs w:val="18"/>
        </w:rPr>
      </w:pPr>
      <w:bookmarkStart w:id="63" w:name="_Toc239243329"/>
      <w:r>
        <w:rPr>
          <w:sz w:val="18"/>
          <w:szCs w:val="18"/>
        </w:rPr>
        <w:t xml:space="preserve">8. </w:t>
      </w:r>
      <w:bookmarkEnd w:id="63"/>
      <w:r>
        <w:rPr>
          <w:sz w:val="18"/>
          <w:szCs w:val="18"/>
        </w:rPr>
        <w:t>ODBIÓR ROBÓT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64" w:name="_Toc239243330"/>
      <w:bookmarkStart w:id="65" w:name="_Toc239243257"/>
      <w:r>
        <w:rPr>
          <w:sz w:val="18"/>
          <w:szCs w:val="18"/>
        </w:rPr>
        <w:t>8.1. Ogólne zasady odbioru robót</w:t>
      </w:r>
      <w:bookmarkEnd w:id="64"/>
      <w:bookmarkEnd w:id="65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Ogólne zasady odbioru robót podano w SST D 00.00.00 „Wymagania ogólne” pkt. 8.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Roboty uznaje się za wykonane zgodnie z dokumentacją projektową, SST i wymaganiami Inżyniera, jeżeli wszystkie pomiary i badania, z zachowaniem tolerancji wg pkt 6, dały wyniki pozytywne.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66" w:name="_Toc239243331"/>
      <w:bookmarkStart w:id="67" w:name="_Toc239243258"/>
      <w:r>
        <w:rPr>
          <w:sz w:val="18"/>
          <w:szCs w:val="18"/>
        </w:rPr>
        <w:t>8.2. Odbiór robót zanikających i ulegających zakryciu</w:t>
      </w:r>
      <w:bookmarkEnd w:id="66"/>
      <w:bookmarkEnd w:id="67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Odbiór robót zanikających i ulegających zakryciu, w zależności od przyjętego sposobu wykonania robót, może być dokonany po: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oczyszczeniu powierzchni nawierzchni,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przedznakowaniu.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68" w:name="_Toc239243332"/>
      <w:bookmarkStart w:id="69" w:name="_Toc239243259"/>
      <w:r>
        <w:rPr>
          <w:sz w:val="18"/>
          <w:szCs w:val="18"/>
        </w:rPr>
        <w:t>8.3. Odbiór ostateczny</w:t>
      </w:r>
      <w:bookmarkEnd w:id="68"/>
      <w:bookmarkEnd w:id="69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Odbioru ostatecznego należy dokonać po całkowitym zakończeniu robót, na podstawie wyników pomiarów i badań jakościowych określonych w punktach od 2 do 6.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70" w:name="_Toc239243333"/>
      <w:bookmarkStart w:id="71" w:name="_Toc239243260"/>
      <w:r>
        <w:rPr>
          <w:sz w:val="18"/>
          <w:szCs w:val="18"/>
        </w:rPr>
        <w:t>8.4. Odbiór pogwarancyjny</w:t>
      </w:r>
      <w:bookmarkEnd w:id="70"/>
      <w:bookmarkEnd w:id="71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Odbioru pogwarancyjnego należy dokonać po upływie okresu gwarancyjnego. Sprawdzeniu podlegają cechy oznakowania określone w POD 97.</w:t>
      </w:r>
    </w:p>
    <w:p w:rsidR="00F74DFC" w:rsidRDefault="00F74DFC" w:rsidP="00F74DFC">
      <w:pPr>
        <w:rPr>
          <w:sz w:val="18"/>
          <w:szCs w:val="18"/>
        </w:rPr>
      </w:pPr>
    </w:p>
    <w:p w:rsidR="00F74DFC" w:rsidRDefault="00F74DFC" w:rsidP="00F74DFC">
      <w:pPr>
        <w:pStyle w:val="Nagwek1"/>
        <w:keepLines/>
        <w:tabs>
          <w:tab w:val="left" w:pos="0"/>
        </w:tabs>
        <w:rPr>
          <w:sz w:val="18"/>
          <w:szCs w:val="18"/>
        </w:rPr>
      </w:pPr>
      <w:bookmarkStart w:id="72" w:name="_Toc239243334"/>
      <w:r>
        <w:rPr>
          <w:sz w:val="18"/>
          <w:szCs w:val="18"/>
        </w:rPr>
        <w:t xml:space="preserve">9. </w:t>
      </w:r>
      <w:bookmarkEnd w:id="72"/>
      <w:r>
        <w:rPr>
          <w:sz w:val="18"/>
          <w:szCs w:val="18"/>
        </w:rPr>
        <w:t>PODSTAWA PŁATNOŚCI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73" w:name="_Toc239243335"/>
      <w:bookmarkStart w:id="74" w:name="_Toc239243262"/>
      <w:r>
        <w:rPr>
          <w:sz w:val="18"/>
          <w:szCs w:val="18"/>
        </w:rPr>
        <w:t>9.1. Ogólne ustalenia dotyczące podstawy płatności</w:t>
      </w:r>
      <w:bookmarkEnd w:id="73"/>
      <w:bookmarkEnd w:id="74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Ogólne ustalenia dotyczące podstawy płatności podano w SST D 00.00.00 „Wymagania ogólne” pkt. 9.</w:t>
      </w:r>
    </w:p>
    <w:p w:rsidR="00F74DFC" w:rsidRDefault="00F74DFC" w:rsidP="00F74DFC">
      <w:pPr>
        <w:pStyle w:val="Nagwek2"/>
        <w:tabs>
          <w:tab w:val="left" w:pos="0"/>
        </w:tabs>
        <w:ind w:firstLine="0"/>
        <w:rPr>
          <w:sz w:val="18"/>
          <w:szCs w:val="18"/>
        </w:rPr>
      </w:pPr>
      <w:bookmarkStart w:id="75" w:name="_Toc239243336"/>
      <w:bookmarkStart w:id="76" w:name="_Toc239243263"/>
      <w:r>
        <w:rPr>
          <w:sz w:val="18"/>
          <w:szCs w:val="18"/>
        </w:rPr>
        <w:t>9.2. Cena jednostki obmiarowej</w:t>
      </w:r>
      <w:bookmarkEnd w:id="75"/>
      <w:bookmarkEnd w:id="76"/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Cena </w:t>
      </w:r>
      <w:smartTag w:uri="urn:schemas-microsoft-com:office:smarttags" w:element="metricconverter">
        <w:smartTagPr>
          <w:attr w:name="ProductID" w:val="1 m2"/>
        </w:smartTagPr>
        <w:r>
          <w:rPr>
            <w:sz w:val="18"/>
            <w:szCs w:val="18"/>
          </w:rPr>
          <w:t>1 m</w:t>
        </w:r>
        <w:r>
          <w:rPr>
            <w:sz w:val="18"/>
            <w:szCs w:val="18"/>
            <w:vertAlign w:val="superscript"/>
          </w:rPr>
          <w:t>2</w:t>
        </w:r>
      </w:smartTag>
      <w:r>
        <w:rPr>
          <w:sz w:val="18"/>
          <w:szCs w:val="18"/>
        </w:rPr>
        <w:t xml:space="preserve"> wykonania robót obejmuje: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prace pomiarowe, roboty przygotowawcze i oznakowanie robót,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przygotowanie i dostarczenie materiałów,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oczyszczenie podłoża (nawierzchni),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przedznakowanie,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naniesienie powłoki znaków na nawierzchnię drogi o kształtach i wymiarach zgodnych z dokumentacją projektową i załącznikiem nr 2 do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rozporządzenia Ministra Infrastruktury,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ochrona znaków przed zniszczeniem przez pojazdy w czasie prowadzenia robót, </w:t>
      </w:r>
    </w:p>
    <w:p w:rsidR="00F74DFC" w:rsidRDefault="00F74DFC" w:rsidP="00F74DFC">
      <w:pPr>
        <w:jc w:val="both"/>
        <w:rPr>
          <w:sz w:val="18"/>
          <w:szCs w:val="18"/>
        </w:rPr>
      </w:pPr>
      <w:r>
        <w:rPr>
          <w:sz w:val="18"/>
          <w:szCs w:val="18"/>
        </w:rPr>
        <w:t>- przeprowadzenie pomiarów i badań laboratoryjnych wymaganych w specyfikacji technicznej.</w:t>
      </w:r>
    </w:p>
    <w:p w:rsidR="002006A8" w:rsidRDefault="002006A8"/>
    <w:sectPr w:rsidR="002006A8" w:rsidSect="00822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-"/>
      <w:lvlJc w:val="left"/>
      <w:pPr>
        <w:ind w:left="0" w:firstLine="0"/>
      </w:pPr>
      <w:rPr>
        <w:rFonts w:ascii="StarSymbol" w:hAnsi="StarSymbol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</w:lvl>
  </w:abstractNum>
  <w:abstractNum w:abstractNumId="2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0000007"/>
    <w:multiLevelType w:val="multilevel"/>
    <w:tmpl w:val="77EAE4A0"/>
    <w:name w:val="WW8Num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20"/>
      </w:rPr>
    </w:lvl>
  </w:abstractNum>
  <w:abstractNum w:abstractNumId="6">
    <w:nsid w:val="0000000B"/>
    <w:multiLevelType w:val="singleLevel"/>
    <w:tmpl w:val="0000000B"/>
    <w:name w:val="WW8Num11"/>
    <w:lvl w:ilvl="0"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/>
        <w:sz w:val="20"/>
      </w:rPr>
    </w:lvl>
  </w:abstractNum>
  <w:abstractNum w:abstractNumId="7">
    <w:nsid w:val="0000000C"/>
    <w:multiLevelType w:val="multilevel"/>
    <w:tmpl w:val="0000000C"/>
    <w:name w:val="WW8Num1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5"/>
  </w:num>
  <w:num w:numId="14">
    <w:abstractNumId w:val="5"/>
  </w:num>
  <w:num w:numId="15">
    <w:abstractNumId w:val="6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74DFC"/>
    <w:rsid w:val="002006A8"/>
    <w:rsid w:val="004269B8"/>
    <w:rsid w:val="00822DCD"/>
    <w:rsid w:val="008613B6"/>
    <w:rsid w:val="00EB4661"/>
    <w:rsid w:val="00F74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DCD"/>
  </w:style>
  <w:style w:type="paragraph" w:styleId="Nagwek1">
    <w:name w:val="heading 1"/>
    <w:basedOn w:val="Normalny"/>
    <w:next w:val="Normalny"/>
    <w:link w:val="Nagwek1Znak"/>
    <w:qFormat/>
    <w:rsid w:val="00F74DFC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74DFC"/>
    <w:pPr>
      <w:keepNext/>
      <w:tabs>
        <w:tab w:val="left" w:pos="567"/>
      </w:tabs>
      <w:suppressAutoHyphens/>
      <w:spacing w:after="0" w:line="240" w:lineRule="auto"/>
      <w:ind w:hanging="1080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4DFC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F74DFC"/>
    <w:rPr>
      <w:rFonts w:ascii="Times New Roman" w:eastAsia="Times New Roman" w:hAnsi="Times New Roman" w:cs="Times New Roman"/>
      <w:b/>
      <w:sz w:val="28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F74DF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74DF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nhideWhenUsed/>
    <w:rsid w:val="00F74DF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74DFC"/>
  </w:style>
  <w:style w:type="paragraph" w:customStyle="1" w:styleId="tekstost">
    <w:name w:val="tekst ost"/>
    <w:basedOn w:val="Normalny"/>
    <w:rsid w:val="00F74DF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owytekst">
    <w:name w:val="Standardowy.tekst"/>
    <w:rsid w:val="00F74DF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F74DFC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F74DFC"/>
    <w:pPr>
      <w:suppressAutoHyphens/>
      <w:spacing w:before="120"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74DFC"/>
    <w:pPr>
      <w:suppressAutoHyphens/>
      <w:spacing w:after="0" w:line="240" w:lineRule="auto"/>
      <w:ind w:left="851" w:hanging="851"/>
      <w:jc w:val="center"/>
    </w:pPr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Standard">
    <w:name w:val="Standard"/>
    <w:rsid w:val="00F74DFC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3"/>
      <w:sz w:val="20"/>
      <w:szCs w:val="20"/>
      <w:lang w:bidi="pl-PL"/>
    </w:rPr>
  </w:style>
  <w:style w:type="paragraph" w:customStyle="1" w:styleId="Textbody">
    <w:name w:val="Text body"/>
    <w:basedOn w:val="Standard"/>
    <w:rsid w:val="00F74DFC"/>
    <w:pPr>
      <w:spacing w:after="120"/>
      <w:jc w:val="left"/>
    </w:pPr>
    <w:rPr>
      <w:rFonts w:ascii="Arial" w:hAnsi="Arial"/>
      <w:lang w:bidi="ar-SA"/>
    </w:rPr>
  </w:style>
  <w:style w:type="character" w:customStyle="1" w:styleId="StopkaZnak1">
    <w:name w:val="Stopka Znak1"/>
    <w:link w:val="Stopka"/>
    <w:locked/>
    <w:rsid w:val="00F74DFC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D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0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5457</Words>
  <Characters>32745</Characters>
  <Application>Microsoft Office Word</Application>
  <DocSecurity>0</DocSecurity>
  <Lines>272</Lines>
  <Paragraphs>76</Paragraphs>
  <ScaleCrop>false</ScaleCrop>
  <Company/>
  <LinksUpToDate>false</LinksUpToDate>
  <CharactersWithSpaces>38126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6</cp:revision>
  <dcterms:created xsi:type="dcterms:W3CDTF">2013-06-20T16:09:00Z</dcterms:created>
  <dcterms:modified xsi:type="dcterms:W3CDTF">2015-08-05T17:54:00Z</dcterms:modified>
</cp:coreProperties>
</file>